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FF60" w14:textId="77777777" w:rsidR="00AA4320" w:rsidRPr="00727EC8" w:rsidRDefault="00AA4320" w:rsidP="00417223">
      <w:pPr>
        <w:pStyle w:val="Default"/>
        <w:rPr>
          <w:rFonts w:asciiTheme="minorHAnsi" w:hAnsiTheme="minorHAnsi" w:cstheme="minorHAnsi"/>
          <w:b/>
        </w:rPr>
      </w:pPr>
    </w:p>
    <w:p w14:paraId="6490CE54" w14:textId="77777777" w:rsidR="000B256F" w:rsidRPr="00727EC8" w:rsidRDefault="000B256F" w:rsidP="00417223">
      <w:pPr>
        <w:pStyle w:val="Default"/>
        <w:rPr>
          <w:rFonts w:asciiTheme="minorHAnsi" w:hAnsiTheme="minorHAnsi" w:cstheme="minorHAnsi"/>
          <w:b/>
        </w:rPr>
      </w:pPr>
    </w:p>
    <w:p w14:paraId="22485F28" w14:textId="77777777" w:rsidR="000B256F" w:rsidRPr="00727EC8" w:rsidRDefault="000B256F" w:rsidP="00417223">
      <w:pPr>
        <w:pStyle w:val="Default"/>
        <w:rPr>
          <w:rFonts w:asciiTheme="minorHAnsi" w:hAnsiTheme="minorHAnsi" w:cstheme="minorHAnsi"/>
          <w:b/>
        </w:rPr>
      </w:pPr>
    </w:p>
    <w:p w14:paraId="4D7757EC" w14:textId="77777777" w:rsidR="000B256F" w:rsidRPr="00727EC8" w:rsidRDefault="000B256F" w:rsidP="00417223">
      <w:pPr>
        <w:pStyle w:val="Default"/>
        <w:rPr>
          <w:rFonts w:asciiTheme="minorHAnsi" w:hAnsiTheme="minorHAnsi" w:cstheme="minorHAnsi"/>
          <w:b/>
        </w:rPr>
      </w:pPr>
    </w:p>
    <w:p w14:paraId="7674E321" w14:textId="77777777" w:rsidR="000B256F" w:rsidRPr="00727EC8" w:rsidRDefault="000B256F" w:rsidP="00417223">
      <w:pPr>
        <w:pStyle w:val="Default"/>
        <w:rPr>
          <w:rFonts w:asciiTheme="minorHAnsi" w:hAnsiTheme="minorHAnsi" w:cstheme="minorHAnsi"/>
          <w:b/>
        </w:rPr>
      </w:pPr>
    </w:p>
    <w:p w14:paraId="7D3A667D" w14:textId="77777777" w:rsidR="000B256F" w:rsidRPr="00727EC8" w:rsidRDefault="000B256F" w:rsidP="00417223">
      <w:pPr>
        <w:pStyle w:val="Default"/>
        <w:rPr>
          <w:rFonts w:asciiTheme="minorHAnsi" w:hAnsiTheme="minorHAnsi" w:cstheme="minorHAnsi"/>
          <w:b/>
        </w:rPr>
      </w:pPr>
    </w:p>
    <w:p w14:paraId="447AD334" w14:textId="77777777" w:rsidR="000B256F" w:rsidRPr="00727EC8" w:rsidRDefault="000B256F" w:rsidP="00417223">
      <w:pPr>
        <w:pStyle w:val="Default"/>
        <w:rPr>
          <w:rFonts w:asciiTheme="minorHAnsi" w:hAnsiTheme="minorHAnsi" w:cstheme="minorHAnsi"/>
          <w:b/>
        </w:rPr>
      </w:pPr>
    </w:p>
    <w:p w14:paraId="37054D3B" w14:textId="376687A6" w:rsidR="00AA4320" w:rsidRPr="00D15745" w:rsidRDefault="007350F8" w:rsidP="006F73FB">
      <w:pPr>
        <w:pStyle w:val="Default"/>
        <w:ind w:left="720" w:right="2880"/>
        <w:jc w:val="right"/>
        <w:rPr>
          <w:rFonts w:asciiTheme="minorHAnsi" w:hAnsiTheme="minorHAnsi" w:cstheme="minorHAnsi"/>
          <w:b/>
          <w:color w:val="2E74B5"/>
          <w:sz w:val="88"/>
          <w:szCs w:val="88"/>
          <w:lang w:val="fr-FR"/>
        </w:rPr>
      </w:pPr>
      <w:r w:rsidRPr="00727EC8">
        <w:rPr>
          <w:rFonts w:asciiTheme="minorHAnsi" w:hAnsiTheme="minorHAnsi" w:cstheme="minorHAnsi"/>
          <w:b/>
          <w:noProof/>
          <w:color w:val="2E74B5"/>
          <w:sz w:val="88"/>
          <w:szCs w:val="88"/>
          <w:lang w:val="fr-CH" w:eastAsia="fr-CH"/>
        </w:rPr>
        <mc:AlternateContent>
          <mc:Choice Requires="wps">
            <w:drawing>
              <wp:anchor distT="0" distB="0" distL="114300" distR="114300" simplePos="0" relativeHeight="251658240" behindDoc="0" locked="0" layoutInCell="1" allowOverlap="1" wp14:anchorId="14E8A617" wp14:editId="3C38878A">
                <wp:simplePos x="0" y="0"/>
                <wp:positionH relativeFrom="page">
                  <wp:posOffset>1028700</wp:posOffset>
                </wp:positionH>
                <wp:positionV relativeFrom="page">
                  <wp:posOffset>2228850</wp:posOffset>
                </wp:positionV>
                <wp:extent cx="0" cy="149542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1495425"/>
                        </a:xfrm>
                        <a:prstGeom prst="line">
                          <a:avLst/>
                        </a:prstGeom>
                        <a:ln w="28575">
                          <a:solidFill>
                            <a:srgbClr val="2E74B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id="Straight Connector 2" o:spid="_x0000_s1025" style="mso-height-percent:0;mso-height-relative:margin;mso-position-horizontal-relative:page;mso-position-vertical-relative:page;mso-wrap-distance-bottom:0;mso-wrap-distance-left:9pt;mso-wrap-distance-right:9pt;mso-wrap-distance-top:0;mso-wrap-style:square;position:absolute;visibility:visible;z-index:251659264" from="81pt,175.5pt" to="81pt,293.25pt" strokecolor="#2e74b5" strokeweight="2.25pt">
                <v:stroke joinstyle="miter"/>
              </v:line>
            </w:pict>
          </mc:Fallback>
        </mc:AlternateContent>
      </w:r>
      <w:r>
        <w:rPr>
          <w:rFonts w:ascii="Calibri" w:eastAsia="Calibri" w:hAnsi="Calibri" w:cs="Calibri"/>
          <w:b/>
          <w:bCs/>
          <w:color w:val="2E74B5"/>
          <w:sz w:val="88"/>
          <w:szCs w:val="88"/>
          <w:lang w:val="fr-FR"/>
        </w:rPr>
        <w:t xml:space="preserve">Guide </w:t>
      </w:r>
      <w:r w:rsidR="0087628F">
        <w:rPr>
          <w:rFonts w:ascii="Calibri" w:eastAsia="Calibri" w:hAnsi="Calibri" w:cs="Calibri"/>
          <w:b/>
          <w:bCs/>
          <w:color w:val="2E74B5"/>
          <w:sz w:val="88"/>
          <w:szCs w:val="88"/>
          <w:lang w:val="fr-FR"/>
        </w:rPr>
        <w:t xml:space="preserve">terminologique </w:t>
      </w:r>
      <w:r>
        <w:rPr>
          <w:rFonts w:ascii="Calibri" w:eastAsia="Calibri" w:hAnsi="Calibri" w:cs="Calibri"/>
          <w:b/>
          <w:bCs/>
          <w:color w:val="2E74B5"/>
          <w:sz w:val="88"/>
          <w:szCs w:val="88"/>
          <w:lang w:val="fr-FR"/>
        </w:rPr>
        <w:t>du NIAID sur le VIH</w:t>
      </w:r>
    </w:p>
    <w:p w14:paraId="61709404" w14:textId="1E8045DD" w:rsidR="00AA4320" w:rsidRPr="00727EC8" w:rsidRDefault="00B76545" w:rsidP="00B765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color w:val="2E74B5"/>
          <w:szCs w:val="23"/>
        </w:rPr>
      </w:pPr>
      <w:bookmarkStart w:id="0" w:name="_GoBack"/>
      <w:r>
        <w:rPr>
          <w:rFonts w:ascii="Calibri" w:eastAsia="Calibri" w:hAnsi="Calibri" w:cs="Calibri"/>
          <w:color w:val="2E74B5"/>
          <w:sz w:val="24"/>
          <w:szCs w:val="24"/>
          <w:lang w:val="fr-FR"/>
        </w:rPr>
        <w:t>J</w:t>
      </w:r>
      <w:r w:rsidRPr="00B76545">
        <w:rPr>
          <w:rFonts w:ascii="Calibri" w:eastAsia="Calibri" w:hAnsi="Calibri" w:cs="Calibri"/>
          <w:color w:val="2E74B5"/>
          <w:sz w:val="24"/>
          <w:szCs w:val="24"/>
          <w:lang w:val="fr-FR"/>
        </w:rPr>
        <w:t>uillet</w:t>
      </w:r>
      <w:r>
        <w:rPr>
          <w:rFonts w:ascii="Calibri" w:eastAsia="Calibri" w:hAnsi="Calibri" w:cs="Calibri"/>
          <w:color w:val="2E74B5"/>
          <w:sz w:val="24"/>
          <w:szCs w:val="24"/>
          <w:lang w:val="fr-FR"/>
        </w:rPr>
        <w:t xml:space="preserve"> </w:t>
      </w:r>
      <w:r w:rsidR="007350F8">
        <w:rPr>
          <w:rFonts w:ascii="Calibri" w:eastAsia="Calibri" w:hAnsi="Calibri" w:cs="Calibri"/>
          <w:color w:val="2E74B5"/>
          <w:lang w:val="fr-FR"/>
        </w:rPr>
        <w:t>2020</w:t>
      </w:r>
    </w:p>
    <w:p w14:paraId="36EB5783" w14:textId="77777777" w:rsidR="00781189" w:rsidRPr="00727EC8" w:rsidRDefault="00781189" w:rsidP="00417223">
      <w:pPr>
        <w:pStyle w:val="Default"/>
        <w:rPr>
          <w:rFonts w:asciiTheme="minorHAnsi" w:hAnsiTheme="minorHAnsi" w:cstheme="minorHAnsi"/>
          <w:sz w:val="20"/>
          <w:szCs w:val="20"/>
        </w:rPr>
        <w:sectPr w:rsidR="00781189" w:rsidRPr="00727EC8">
          <w:pgSz w:w="12240" w:h="15840"/>
          <w:pgMar w:top="1440" w:right="1440" w:bottom="1440" w:left="1440" w:header="720" w:footer="720" w:gutter="0"/>
          <w:cols w:space="720"/>
          <w:docGrid w:linePitch="360"/>
        </w:sectPr>
      </w:pPr>
    </w:p>
    <w:bookmarkEnd w:id="0"/>
    <w:p w14:paraId="7D89124E" w14:textId="77777777" w:rsidR="00AA4320" w:rsidRPr="00727EC8" w:rsidRDefault="007350F8" w:rsidP="00417223">
      <w:pPr>
        <w:pStyle w:val="Default"/>
        <w:rPr>
          <w:rFonts w:asciiTheme="minorHAnsi" w:hAnsiTheme="minorHAnsi" w:cstheme="minorHAnsi"/>
          <w:color w:val="2E74B5"/>
          <w:sz w:val="32"/>
          <w:szCs w:val="32"/>
        </w:rPr>
      </w:pPr>
      <w:r>
        <w:rPr>
          <w:rFonts w:ascii="Calibri" w:eastAsia="Calibri" w:hAnsi="Calibri" w:cs="Calibri"/>
          <w:color w:val="2E74B5"/>
          <w:sz w:val="32"/>
          <w:szCs w:val="32"/>
          <w:lang w:val="fr-FR"/>
        </w:rPr>
        <w:lastRenderedPageBreak/>
        <w:t>Table des matières</w:t>
      </w:r>
    </w:p>
    <w:p w14:paraId="594BF129" w14:textId="77777777" w:rsidR="005C1FA1" w:rsidRDefault="007350F8">
      <w:pPr>
        <w:pStyle w:val="TOC1"/>
        <w:rPr>
          <w:noProof/>
        </w:rPr>
      </w:pPr>
      <w:r w:rsidRPr="00727EC8">
        <w:rPr>
          <w:rFonts w:cstheme="minorHAnsi"/>
        </w:rPr>
        <w:fldChar w:fldCharType="begin"/>
      </w:r>
      <w:r w:rsidRPr="00727EC8">
        <w:rPr>
          <w:rFonts w:cstheme="minorHAnsi"/>
        </w:rPr>
        <w:instrText xml:space="preserve"> TOC \o "1-3" \h \z \u </w:instrText>
      </w:r>
      <w:r w:rsidRPr="00727EC8">
        <w:rPr>
          <w:rFonts w:cstheme="minorHAnsi"/>
        </w:rPr>
        <w:fldChar w:fldCharType="separate"/>
      </w:r>
      <w:hyperlink w:anchor="_Toc39003300" w:history="1">
        <w:r w:rsidR="005C1FA1" w:rsidRPr="004878D5">
          <w:rPr>
            <w:rStyle w:val="Hyperlink"/>
            <w:rFonts w:ascii="Calibri" w:eastAsia="Calibri" w:hAnsi="Calibri" w:cs="Calibri"/>
            <w:bCs/>
            <w:noProof/>
            <w:lang w:val="fr-FR"/>
          </w:rPr>
          <w:t>À propos de ce guide</w:t>
        </w:r>
        <w:r w:rsidR="005C1FA1">
          <w:rPr>
            <w:noProof/>
            <w:webHidden/>
          </w:rPr>
          <w:tab/>
        </w:r>
        <w:r w:rsidR="005C1FA1">
          <w:rPr>
            <w:noProof/>
            <w:webHidden/>
          </w:rPr>
          <w:fldChar w:fldCharType="begin"/>
        </w:r>
        <w:r w:rsidR="005C1FA1">
          <w:rPr>
            <w:noProof/>
            <w:webHidden/>
          </w:rPr>
          <w:instrText xml:space="preserve"> PAGEREF _Toc39003300 \h </w:instrText>
        </w:r>
        <w:r w:rsidR="005C1FA1">
          <w:rPr>
            <w:noProof/>
            <w:webHidden/>
          </w:rPr>
        </w:r>
        <w:r w:rsidR="005C1FA1">
          <w:rPr>
            <w:noProof/>
            <w:webHidden/>
          </w:rPr>
          <w:fldChar w:fldCharType="separate"/>
        </w:r>
        <w:r w:rsidR="005C1FA1">
          <w:rPr>
            <w:noProof/>
            <w:webHidden/>
          </w:rPr>
          <w:t>1</w:t>
        </w:r>
        <w:r w:rsidR="005C1FA1">
          <w:rPr>
            <w:noProof/>
            <w:webHidden/>
          </w:rPr>
          <w:fldChar w:fldCharType="end"/>
        </w:r>
      </w:hyperlink>
    </w:p>
    <w:p w14:paraId="516FA1B0" w14:textId="77777777" w:rsidR="005C1FA1" w:rsidRDefault="00B76545">
      <w:pPr>
        <w:pStyle w:val="TOC1"/>
        <w:rPr>
          <w:noProof/>
        </w:rPr>
      </w:pPr>
      <w:hyperlink w:anchor="_Toc39003301" w:history="1">
        <w:r w:rsidR="005C1FA1" w:rsidRPr="004878D5">
          <w:rPr>
            <w:rStyle w:val="Hyperlink"/>
            <w:rFonts w:ascii="Calibri" w:eastAsia="Calibri" w:hAnsi="Calibri" w:cs="Calibri"/>
            <w:bCs/>
            <w:noProof/>
            <w:lang w:val="fr-FR"/>
          </w:rPr>
          <w:t>Méthodologie</w:t>
        </w:r>
        <w:r w:rsidR="005C1FA1">
          <w:rPr>
            <w:noProof/>
            <w:webHidden/>
          </w:rPr>
          <w:tab/>
        </w:r>
        <w:r w:rsidR="005C1FA1">
          <w:rPr>
            <w:noProof/>
            <w:webHidden/>
          </w:rPr>
          <w:fldChar w:fldCharType="begin"/>
        </w:r>
        <w:r w:rsidR="005C1FA1">
          <w:rPr>
            <w:noProof/>
            <w:webHidden/>
          </w:rPr>
          <w:instrText xml:space="preserve"> PAGEREF _Toc39003301 \h </w:instrText>
        </w:r>
        <w:r w:rsidR="005C1FA1">
          <w:rPr>
            <w:noProof/>
            <w:webHidden/>
          </w:rPr>
        </w:r>
        <w:r w:rsidR="005C1FA1">
          <w:rPr>
            <w:noProof/>
            <w:webHidden/>
          </w:rPr>
          <w:fldChar w:fldCharType="separate"/>
        </w:r>
        <w:r w:rsidR="005C1FA1">
          <w:rPr>
            <w:noProof/>
            <w:webHidden/>
          </w:rPr>
          <w:t>2</w:t>
        </w:r>
        <w:r w:rsidR="005C1FA1">
          <w:rPr>
            <w:noProof/>
            <w:webHidden/>
          </w:rPr>
          <w:fldChar w:fldCharType="end"/>
        </w:r>
      </w:hyperlink>
    </w:p>
    <w:p w14:paraId="429AB714" w14:textId="77777777" w:rsidR="005C1FA1" w:rsidRDefault="00B76545">
      <w:pPr>
        <w:pStyle w:val="TOC1"/>
        <w:rPr>
          <w:noProof/>
        </w:rPr>
      </w:pPr>
      <w:hyperlink w:anchor="_Toc39003302" w:history="1">
        <w:r w:rsidR="005C1FA1" w:rsidRPr="004878D5">
          <w:rPr>
            <w:rStyle w:val="Hyperlink"/>
            <w:rFonts w:ascii="Calibri" w:eastAsia="Calibri" w:hAnsi="Calibri" w:cs="Calibri"/>
            <w:bCs/>
            <w:noProof/>
            <w:lang w:val="fr-FR"/>
          </w:rPr>
          <w:t>Considérations générales</w:t>
        </w:r>
        <w:r w:rsidR="005C1FA1">
          <w:rPr>
            <w:noProof/>
            <w:webHidden/>
          </w:rPr>
          <w:tab/>
        </w:r>
        <w:r w:rsidR="005C1FA1">
          <w:rPr>
            <w:noProof/>
            <w:webHidden/>
          </w:rPr>
          <w:fldChar w:fldCharType="begin"/>
        </w:r>
        <w:r w:rsidR="005C1FA1">
          <w:rPr>
            <w:noProof/>
            <w:webHidden/>
          </w:rPr>
          <w:instrText xml:space="preserve"> PAGEREF _Toc39003302 \h </w:instrText>
        </w:r>
        <w:r w:rsidR="005C1FA1">
          <w:rPr>
            <w:noProof/>
            <w:webHidden/>
          </w:rPr>
        </w:r>
        <w:r w:rsidR="005C1FA1">
          <w:rPr>
            <w:noProof/>
            <w:webHidden/>
          </w:rPr>
          <w:fldChar w:fldCharType="separate"/>
        </w:r>
        <w:r w:rsidR="005C1FA1">
          <w:rPr>
            <w:noProof/>
            <w:webHidden/>
          </w:rPr>
          <w:t>5</w:t>
        </w:r>
        <w:r w:rsidR="005C1FA1">
          <w:rPr>
            <w:noProof/>
            <w:webHidden/>
          </w:rPr>
          <w:fldChar w:fldCharType="end"/>
        </w:r>
      </w:hyperlink>
    </w:p>
    <w:p w14:paraId="446E4173" w14:textId="77777777" w:rsidR="005C1FA1" w:rsidRDefault="00B76545">
      <w:pPr>
        <w:pStyle w:val="TOC1"/>
        <w:rPr>
          <w:noProof/>
        </w:rPr>
      </w:pPr>
      <w:hyperlink w:anchor="_Toc39003303" w:history="1">
        <w:r w:rsidR="005C1FA1" w:rsidRPr="004878D5">
          <w:rPr>
            <w:rStyle w:val="Hyperlink"/>
            <w:rFonts w:ascii="Calibri" w:eastAsia="Calibri" w:hAnsi="Calibri" w:cs="Calibri"/>
            <w:bCs/>
            <w:noProof/>
            <w:lang w:val="fr-FR"/>
          </w:rPr>
          <w:t>5 conseils pratiques</w:t>
        </w:r>
        <w:r w:rsidR="005C1FA1">
          <w:rPr>
            <w:noProof/>
            <w:webHidden/>
          </w:rPr>
          <w:tab/>
        </w:r>
        <w:r w:rsidR="005C1FA1">
          <w:rPr>
            <w:noProof/>
            <w:webHidden/>
          </w:rPr>
          <w:fldChar w:fldCharType="begin"/>
        </w:r>
        <w:r w:rsidR="005C1FA1">
          <w:rPr>
            <w:noProof/>
            <w:webHidden/>
          </w:rPr>
          <w:instrText xml:space="preserve"> PAGEREF _Toc39003303 \h </w:instrText>
        </w:r>
        <w:r w:rsidR="005C1FA1">
          <w:rPr>
            <w:noProof/>
            <w:webHidden/>
          </w:rPr>
        </w:r>
        <w:r w:rsidR="005C1FA1">
          <w:rPr>
            <w:noProof/>
            <w:webHidden/>
          </w:rPr>
          <w:fldChar w:fldCharType="separate"/>
        </w:r>
        <w:r w:rsidR="005C1FA1">
          <w:rPr>
            <w:noProof/>
            <w:webHidden/>
          </w:rPr>
          <w:t>7</w:t>
        </w:r>
        <w:r w:rsidR="005C1FA1">
          <w:rPr>
            <w:noProof/>
            <w:webHidden/>
          </w:rPr>
          <w:fldChar w:fldCharType="end"/>
        </w:r>
      </w:hyperlink>
    </w:p>
    <w:p w14:paraId="54D1A1AE" w14:textId="77777777" w:rsidR="005C1FA1" w:rsidRDefault="00B76545">
      <w:pPr>
        <w:pStyle w:val="TOC1"/>
        <w:rPr>
          <w:noProof/>
        </w:rPr>
      </w:pPr>
      <w:hyperlink w:anchor="_Toc39003304" w:history="1">
        <w:r w:rsidR="005C1FA1" w:rsidRPr="004878D5">
          <w:rPr>
            <w:rStyle w:val="Hyperlink"/>
            <w:rFonts w:ascii="Calibri" w:eastAsia="Calibri" w:hAnsi="Calibri" w:cs="Calibri"/>
            <w:bCs/>
            <w:noProof/>
            <w:lang w:val="fr-FR"/>
          </w:rPr>
          <w:t>Terminologie de base sur le VIH</w:t>
        </w:r>
        <w:r w:rsidR="005C1FA1">
          <w:rPr>
            <w:noProof/>
            <w:webHidden/>
          </w:rPr>
          <w:tab/>
        </w:r>
        <w:r w:rsidR="005C1FA1">
          <w:rPr>
            <w:noProof/>
            <w:webHidden/>
          </w:rPr>
          <w:fldChar w:fldCharType="begin"/>
        </w:r>
        <w:r w:rsidR="005C1FA1">
          <w:rPr>
            <w:noProof/>
            <w:webHidden/>
          </w:rPr>
          <w:instrText xml:space="preserve"> PAGEREF _Toc39003304 \h </w:instrText>
        </w:r>
        <w:r w:rsidR="005C1FA1">
          <w:rPr>
            <w:noProof/>
            <w:webHidden/>
          </w:rPr>
        </w:r>
        <w:r w:rsidR="005C1FA1">
          <w:rPr>
            <w:noProof/>
            <w:webHidden/>
          </w:rPr>
          <w:fldChar w:fldCharType="separate"/>
        </w:r>
        <w:r w:rsidR="005C1FA1">
          <w:rPr>
            <w:noProof/>
            <w:webHidden/>
          </w:rPr>
          <w:t>9</w:t>
        </w:r>
        <w:r w:rsidR="005C1FA1">
          <w:rPr>
            <w:noProof/>
            <w:webHidden/>
          </w:rPr>
          <w:fldChar w:fldCharType="end"/>
        </w:r>
      </w:hyperlink>
    </w:p>
    <w:p w14:paraId="0934864D" w14:textId="77777777" w:rsidR="005C1FA1" w:rsidRDefault="00B76545">
      <w:pPr>
        <w:pStyle w:val="TOC1"/>
        <w:rPr>
          <w:noProof/>
        </w:rPr>
      </w:pPr>
      <w:hyperlink w:anchor="_Toc39003305" w:history="1">
        <w:r w:rsidR="005C1FA1" w:rsidRPr="004878D5">
          <w:rPr>
            <w:rStyle w:val="Hyperlink"/>
            <w:rFonts w:ascii="Calibri" w:eastAsia="Calibri" w:hAnsi="Calibri" w:cs="Calibri"/>
            <w:bCs/>
            <w:noProof/>
            <w:lang w:val="fr-FR"/>
          </w:rPr>
          <w:t>Sexe, genre et sexualité</w:t>
        </w:r>
        <w:r w:rsidR="005C1FA1">
          <w:rPr>
            <w:noProof/>
            <w:webHidden/>
          </w:rPr>
          <w:tab/>
        </w:r>
        <w:r w:rsidR="005C1FA1">
          <w:rPr>
            <w:noProof/>
            <w:webHidden/>
          </w:rPr>
          <w:fldChar w:fldCharType="begin"/>
        </w:r>
        <w:r w:rsidR="005C1FA1">
          <w:rPr>
            <w:noProof/>
            <w:webHidden/>
          </w:rPr>
          <w:instrText xml:space="preserve"> PAGEREF _Toc39003305 \h </w:instrText>
        </w:r>
        <w:r w:rsidR="005C1FA1">
          <w:rPr>
            <w:noProof/>
            <w:webHidden/>
          </w:rPr>
        </w:r>
        <w:r w:rsidR="005C1FA1">
          <w:rPr>
            <w:noProof/>
            <w:webHidden/>
          </w:rPr>
          <w:fldChar w:fldCharType="separate"/>
        </w:r>
        <w:r w:rsidR="005C1FA1">
          <w:rPr>
            <w:noProof/>
            <w:webHidden/>
          </w:rPr>
          <w:t>14</w:t>
        </w:r>
        <w:r w:rsidR="005C1FA1">
          <w:rPr>
            <w:noProof/>
            <w:webHidden/>
          </w:rPr>
          <w:fldChar w:fldCharType="end"/>
        </w:r>
      </w:hyperlink>
    </w:p>
    <w:p w14:paraId="3F10F5A4" w14:textId="77777777" w:rsidR="005C1FA1" w:rsidRDefault="00B76545">
      <w:pPr>
        <w:pStyle w:val="TOC1"/>
        <w:rPr>
          <w:noProof/>
        </w:rPr>
      </w:pPr>
      <w:hyperlink w:anchor="_Toc39003306" w:history="1">
        <w:r w:rsidR="005C1FA1" w:rsidRPr="004878D5">
          <w:rPr>
            <w:rStyle w:val="Hyperlink"/>
            <w:rFonts w:ascii="Calibri" w:eastAsia="Calibri" w:hAnsi="Calibri" w:cs="Calibri"/>
            <w:bCs/>
            <w:noProof/>
            <w:lang w:val="fr-FR"/>
          </w:rPr>
          <w:t>Consommation de substances</w:t>
        </w:r>
        <w:r w:rsidR="005C1FA1">
          <w:rPr>
            <w:noProof/>
            <w:webHidden/>
          </w:rPr>
          <w:tab/>
        </w:r>
        <w:r w:rsidR="005C1FA1">
          <w:rPr>
            <w:noProof/>
            <w:webHidden/>
          </w:rPr>
          <w:fldChar w:fldCharType="begin"/>
        </w:r>
        <w:r w:rsidR="005C1FA1">
          <w:rPr>
            <w:noProof/>
            <w:webHidden/>
          </w:rPr>
          <w:instrText xml:space="preserve"> PAGEREF _Toc39003306 \h </w:instrText>
        </w:r>
        <w:r w:rsidR="005C1FA1">
          <w:rPr>
            <w:noProof/>
            <w:webHidden/>
          </w:rPr>
        </w:r>
        <w:r w:rsidR="005C1FA1">
          <w:rPr>
            <w:noProof/>
            <w:webHidden/>
          </w:rPr>
          <w:fldChar w:fldCharType="separate"/>
        </w:r>
        <w:r w:rsidR="005C1FA1">
          <w:rPr>
            <w:noProof/>
            <w:webHidden/>
          </w:rPr>
          <w:t>20</w:t>
        </w:r>
        <w:r w:rsidR="005C1FA1">
          <w:rPr>
            <w:noProof/>
            <w:webHidden/>
          </w:rPr>
          <w:fldChar w:fldCharType="end"/>
        </w:r>
      </w:hyperlink>
    </w:p>
    <w:p w14:paraId="08AC5ADD" w14:textId="77777777" w:rsidR="005C1FA1" w:rsidRDefault="00B76545">
      <w:pPr>
        <w:pStyle w:val="TOC1"/>
        <w:rPr>
          <w:noProof/>
        </w:rPr>
      </w:pPr>
      <w:hyperlink w:anchor="_Toc39003307" w:history="1">
        <w:r w:rsidR="005C1FA1" w:rsidRPr="004878D5">
          <w:rPr>
            <w:rStyle w:val="Hyperlink"/>
            <w:rFonts w:ascii="Calibri" w:eastAsia="Calibri" w:hAnsi="Calibri" w:cs="Calibri"/>
            <w:bCs/>
            <w:noProof/>
            <w:lang w:val="fr-FR"/>
          </w:rPr>
          <w:t>Termes et sujets divers</w:t>
        </w:r>
        <w:r w:rsidR="005C1FA1">
          <w:rPr>
            <w:noProof/>
            <w:webHidden/>
          </w:rPr>
          <w:tab/>
        </w:r>
        <w:r w:rsidR="005C1FA1">
          <w:rPr>
            <w:noProof/>
            <w:webHidden/>
          </w:rPr>
          <w:fldChar w:fldCharType="begin"/>
        </w:r>
        <w:r w:rsidR="005C1FA1">
          <w:rPr>
            <w:noProof/>
            <w:webHidden/>
          </w:rPr>
          <w:instrText xml:space="preserve"> PAGEREF _Toc39003307 \h </w:instrText>
        </w:r>
        <w:r w:rsidR="005C1FA1">
          <w:rPr>
            <w:noProof/>
            <w:webHidden/>
          </w:rPr>
        </w:r>
        <w:r w:rsidR="005C1FA1">
          <w:rPr>
            <w:noProof/>
            <w:webHidden/>
          </w:rPr>
          <w:fldChar w:fldCharType="separate"/>
        </w:r>
        <w:r w:rsidR="005C1FA1">
          <w:rPr>
            <w:noProof/>
            <w:webHidden/>
          </w:rPr>
          <w:t>24</w:t>
        </w:r>
        <w:r w:rsidR="005C1FA1">
          <w:rPr>
            <w:noProof/>
            <w:webHidden/>
          </w:rPr>
          <w:fldChar w:fldCharType="end"/>
        </w:r>
      </w:hyperlink>
    </w:p>
    <w:p w14:paraId="3D70573D" w14:textId="77777777" w:rsidR="00781189" w:rsidRPr="00727EC8" w:rsidRDefault="007350F8" w:rsidP="00417223">
      <w:pPr>
        <w:pStyle w:val="Default"/>
        <w:rPr>
          <w:rFonts w:asciiTheme="minorHAnsi" w:hAnsiTheme="minorHAnsi" w:cstheme="minorHAnsi"/>
          <w:sz w:val="22"/>
          <w:szCs w:val="22"/>
        </w:rPr>
      </w:pPr>
      <w:r w:rsidRPr="00727EC8">
        <w:rPr>
          <w:rFonts w:asciiTheme="minorHAnsi" w:hAnsiTheme="minorHAnsi" w:cstheme="minorHAnsi"/>
          <w:sz w:val="22"/>
          <w:szCs w:val="22"/>
        </w:rPr>
        <w:fldChar w:fldCharType="end"/>
      </w:r>
    </w:p>
    <w:p w14:paraId="19CF8E49" w14:textId="77777777" w:rsidR="00781189" w:rsidRPr="00727EC8" w:rsidRDefault="00781189" w:rsidP="00417223">
      <w:pPr>
        <w:pStyle w:val="Default"/>
        <w:rPr>
          <w:rFonts w:asciiTheme="minorHAnsi" w:hAnsiTheme="minorHAnsi" w:cstheme="minorHAnsi"/>
          <w:sz w:val="22"/>
          <w:szCs w:val="22"/>
        </w:rPr>
        <w:sectPr w:rsidR="00781189" w:rsidRPr="00727EC8" w:rsidSect="00781189">
          <w:headerReference w:type="default" r:id="rId8"/>
          <w:footerReference w:type="default" r:id="rId9"/>
          <w:pgSz w:w="12240" w:h="15840"/>
          <w:pgMar w:top="1440" w:right="1440" w:bottom="1440" w:left="1440" w:header="720" w:footer="720" w:gutter="0"/>
          <w:pgNumType w:fmt="lowerRoman" w:start="1"/>
          <w:cols w:space="720"/>
          <w:docGrid w:linePitch="360"/>
        </w:sectPr>
      </w:pPr>
    </w:p>
    <w:p w14:paraId="4A92592A" w14:textId="77777777" w:rsidR="00AA4320" w:rsidRPr="00727EC8" w:rsidRDefault="007350F8" w:rsidP="00821716">
      <w:pPr>
        <w:pStyle w:val="Heading1"/>
      </w:pPr>
      <w:bookmarkStart w:id="1" w:name="_Toc39003300"/>
      <w:r>
        <w:rPr>
          <w:rFonts w:ascii="Calibri" w:eastAsia="Calibri" w:hAnsi="Calibri" w:cs="Calibri"/>
          <w:bCs/>
          <w:lang w:val="fr-FR"/>
        </w:rPr>
        <w:lastRenderedPageBreak/>
        <w:t>À propos de ce guide</w:t>
      </w:r>
      <w:bookmarkEnd w:id="1"/>
    </w:p>
    <w:p w14:paraId="6B738782" w14:textId="77777777" w:rsidR="00781189" w:rsidRPr="00727EC8" w:rsidRDefault="00781189" w:rsidP="00417223">
      <w:pPr>
        <w:pStyle w:val="Default"/>
        <w:spacing w:line="276" w:lineRule="auto"/>
        <w:rPr>
          <w:rFonts w:asciiTheme="minorHAnsi" w:hAnsiTheme="minorHAnsi" w:cstheme="minorHAnsi"/>
          <w:b/>
          <w:bCs/>
          <w:i/>
          <w:iCs/>
          <w:szCs w:val="23"/>
        </w:rPr>
      </w:pPr>
    </w:p>
    <w:tbl>
      <w:tblPr>
        <w:tblStyle w:val="TableGrid"/>
        <w:tblW w:w="0" w:type="auto"/>
        <w:tblBorders>
          <w:top w:val="single" w:sz="24" w:space="0" w:color="4472C4"/>
          <w:left w:val="none" w:sz="0" w:space="0" w:color="auto"/>
          <w:bottom w:val="single" w:sz="24" w:space="0" w:color="4472C4"/>
          <w:right w:val="none" w:sz="0" w:space="0" w:color="auto"/>
          <w:insideH w:val="none" w:sz="0" w:space="0" w:color="auto"/>
          <w:insideV w:val="none" w:sz="0" w:space="0" w:color="auto"/>
        </w:tblBorders>
        <w:tblLook w:val="04A0" w:firstRow="1" w:lastRow="0" w:firstColumn="1" w:lastColumn="0" w:noHBand="0" w:noVBand="1"/>
      </w:tblPr>
      <w:tblGrid>
        <w:gridCol w:w="9350"/>
      </w:tblGrid>
      <w:tr w:rsidR="00896FB7" w:rsidRPr="00EE1EE3" w14:paraId="43CC1A41" w14:textId="77777777" w:rsidTr="00781189">
        <w:tc>
          <w:tcPr>
            <w:tcW w:w="9350" w:type="dxa"/>
          </w:tcPr>
          <w:p w14:paraId="4A226B9B" w14:textId="77777777" w:rsidR="00781189" w:rsidRPr="00D15745" w:rsidRDefault="007350F8" w:rsidP="00417223">
            <w:pPr>
              <w:pStyle w:val="Default"/>
              <w:spacing w:before="120" w:line="276" w:lineRule="auto"/>
              <w:rPr>
                <w:rFonts w:asciiTheme="minorHAnsi" w:hAnsiTheme="minorHAnsi" w:cstheme="minorHAnsi"/>
                <w:b/>
                <w:color w:val="2E74B5"/>
                <w:szCs w:val="23"/>
                <w:lang w:val="fr-FR"/>
              </w:rPr>
            </w:pPr>
            <w:r>
              <w:rPr>
                <w:rFonts w:ascii="Calibri" w:eastAsia="Calibri" w:hAnsi="Calibri" w:cs="Calibri"/>
                <w:b/>
                <w:bCs/>
                <w:i/>
                <w:iCs/>
                <w:color w:val="2E74B5"/>
                <w:lang w:val="fr-FR"/>
              </w:rPr>
              <w:t>Traduction</w:t>
            </w:r>
          </w:p>
          <w:p w14:paraId="2586EA02" w14:textId="19E26C68" w:rsidR="00781189" w:rsidRPr="00D15745" w:rsidRDefault="007350F8" w:rsidP="003711C6">
            <w:pPr>
              <w:pStyle w:val="Default"/>
              <w:spacing w:after="120" w:line="276" w:lineRule="auto"/>
              <w:rPr>
                <w:rFonts w:asciiTheme="minorHAnsi" w:hAnsiTheme="minorHAnsi" w:cstheme="minorHAnsi"/>
                <w:b/>
                <w:sz w:val="22"/>
                <w:szCs w:val="22"/>
                <w:lang w:val="fr-FR"/>
              </w:rPr>
            </w:pPr>
            <w:r>
              <w:rPr>
                <w:rFonts w:ascii="Calibri" w:eastAsia="Calibri" w:hAnsi="Calibri" w:cs="Calibri"/>
                <w:sz w:val="22"/>
                <w:szCs w:val="22"/>
                <w:lang w:val="fr-FR"/>
              </w:rPr>
              <w:t xml:space="preserve">Veuillez noter que ce guide a été initialement rédigé en anglais américain et a depuis été traduit en </w:t>
            </w:r>
            <w:r w:rsidR="003711C6">
              <w:rPr>
                <w:rFonts w:ascii="Calibri" w:eastAsia="Calibri" w:hAnsi="Calibri" w:cs="Calibri"/>
                <w:sz w:val="22"/>
                <w:szCs w:val="22"/>
                <w:lang w:val="fr-FR"/>
              </w:rPr>
              <w:t>français</w:t>
            </w:r>
            <w:r>
              <w:rPr>
                <w:rFonts w:ascii="Calibri" w:eastAsia="Calibri" w:hAnsi="Calibri" w:cs="Calibri"/>
                <w:sz w:val="22"/>
                <w:szCs w:val="22"/>
                <w:lang w:val="fr-FR"/>
              </w:rPr>
              <w:t xml:space="preserve"> par</w:t>
            </w:r>
            <w:r w:rsidR="003711C6">
              <w:rPr>
                <w:rFonts w:ascii="Calibri" w:eastAsia="Calibri" w:hAnsi="Calibri" w:cs="Calibri"/>
                <w:sz w:val="22"/>
                <w:szCs w:val="22"/>
                <w:lang w:val="fr-FR"/>
              </w:rPr>
              <w:t xml:space="preserve"> </w:t>
            </w:r>
            <w:proofErr w:type="spellStart"/>
            <w:r w:rsidR="003711C6">
              <w:rPr>
                <w:rFonts w:ascii="Calibri" w:eastAsia="Calibri" w:hAnsi="Calibri" w:cs="Calibri"/>
                <w:sz w:val="22"/>
                <w:szCs w:val="22"/>
                <w:lang w:val="fr-FR"/>
              </w:rPr>
              <w:t>TransPerfect</w:t>
            </w:r>
            <w:proofErr w:type="spellEnd"/>
            <w:r>
              <w:rPr>
                <w:rFonts w:ascii="Calibri" w:eastAsia="Calibri" w:hAnsi="Calibri" w:cs="Calibri"/>
                <w:sz w:val="22"/>
                <w:szCs w:val="22"/>
                <w:lang w:val="fr-FR"/>
              </w:rPr>
              <w:t>. La traduction peut modifier le sens de certaines phrases. L'évaluation par la communauté et les NIH</w:t>
            </w:r>
            <w:r w:rsidR="006E6A76">
              <w:rPr>
                <w:rFonts w:ascii="Calibri" w:eastAsia="Calibri" w:hAnsi="Calibri" w:cs="Calibri"/>
                <w:sz w:val="22"/>
                <w:szCs w:val="22"/>
                <w:lang w:val="fr-FR"/>
              </w:rPr>
              <w:t xml:space="preserve"> (National Institutes of </w:t>
            </w:r>
            <w:proofErr w:type="spellStart"/>
            <w:r w:rsidR="006E6A76">
              <w:rPr>
                <w:rFonts w:ascii="Calibri" w:eastAsia="Calibri" w:hAnsi="Calibri" w:cs="Calibri"/>
                <w:sz w:val="22"/>
                <w:szCs w:val="22"/>
                <w:lang w:val="fr-FR"/>
              </w:rPr>
              <w:t>Health</w:t>
            </w:r>
            <w:proofErr w:type="spellEnd"/>
            <w:r w:rsidR="006E6A76">
              <w:rPr>
                <w:rFonts w:ascii="Calibri" w:eastAsia="Calibri" w:hAnsi="Calibri" w:cs="Calibri"/>
                <w:sz w:val="22"/>
                <w:szCs w:val="22"/>
                <w:lang w:val="fr-FR"/>
              </w:rPr>
              <w:t>)</w:t>
            </w:r>
            <w:r>
              <w:rPr>
                <w:rFonts w:ascii="Calibri" w:eastAsia="Calibri" w:hAnsi="Calibri" w:cs="Calibri"/>
                <w:sz w:val="22"/>
                <w:szCs w:val="22"/>
                <w:lang w:val="fr-FR"/>
              </w:rPr>
              <w:t xml:space="preserve"> telle que décrite dans la section Méthodologie de ce guide, a été réalisée uniquement pour la version anglaise de ce guide.</w:t>
            </w:r>
          </w:p>
        </w:tc>
      </w:tr>
    </w:tbl>
    <w:p w14:paraId="08180D0D" w14:textId="1BA4623C" w:rsidR="00341E39" w:rsidRPr="00D15745" w:rsidRDefault="00341E39" w:rsidP="00417223">
      <w:pPr>
        <w:pStyle w:val="Default"/>
        <w:spacing w:after="120" w:line="276" w:lineRule="auto"/>
        <w:rPr>
          <w:rFonts w:asciiTheme="minorHAnsi" w:hAnsiTheme="minorHAnsi" w:cstheme="minorHAnsi"/>
          <w:sz w:val="22"/>
          <w:szCs w:val="22"/>
          <w:lang w:val="fr-FR"/>
        </w:rPr>
      </w:pPr>
    </w:p>
    <w:p w14:paraId="1DB9729B" w14:textId="0C596653" w:rsidR="00AA4320" w:rsidRPr="000C4E9B" w:rsidRDefault="007636B5" w:rsidP="002822F0">
      <w:pPr>
        <w:pStyle w:val="Default"/>
        <w:spacing w:after="120" w:line="276" w:lineRule="auto"/>
        <w:rPr>
          <w:rFonts w:ascii="Calibri" w:eastAsia="Calibri" w:hAnsi="Calibri" w:cs="Calibri"/>
          <w:sz w:val="22"/>
          <w:szCs w:val="22"/>
          <w:lang w:val="fr-FR"/>
        </w:rPr>
      </w:pPr>
      <w:r w:rsidRPr="000C4E9B">
        <w:rPr>
          <w:rFonts w:cstheme="minorHAnsi"/>
          <w:noProof/>
          <w:sz w:val="22"/>
          <w:szCs w:val="22"/>
          <w:lang w:val="fr-CH" w:eastAsia="fr-CH"/>
        </w:rPr>
        <mc:AlternateContent>
          <mc:Choice Requires="wps">
            <w:drawing>
              <wp:anchor distT="0" distB="0" distL="114300" distR="114300" simplePos="0" relativeHeight="251661312" behindDoc="1" locked="0" layoutInCell="1" allowOverlap="1" wp14:anchorId="21BF1268" wp14:editId="771D5AFC">
                <wp:simplePos x="0" y="0"/>
                <wp:positionH relativeFrom="page">
                  <wp:posOffset>4705350</wp:posOffset>
                </wp:positionH>
                <wp:positionV relativeFrom="page">
                  <wp:posOffset>2971800</wp:posOffset>
                </wp:positionV>
                <wp:extent cx="2152650" cy="1838325"/>
                <wp:effectExtent l="0" t="0" r="0" b="9525"/>
                <wp:wrapTight wrapText="bothSides">
                  <wp:wrapPolygon edited="0">
                    <wp:start x="0" y="0"/>
                    <wp:lineTo x="0" y="21488"/>
                    <wp:lineTo x="21409" y="21488"/>
                    <wp:lineTo x="2140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152650" cy="1838325"/>
                        </a:xfrm>
                        <a:prstGeom prst="rect">
                          <a:avLst/>
                        </a:prstGeom>
                        <a:solidFill>
                          <a:srgbClr val="548CC2"/>
                        </a:solidFill>
                        <a:ln w="6350">
                          <a:noFill/>
                        </a:ln>
                      </wps:spPr>
                      <wps:txbx>
                        <w:txbxContent>
                          <w:p w14:paraId="5342A10E" w14:textId="77777777" w:rsidR="00BC4C0F" w:rsidRPr="00D15745" w:rsidRDefault="00BC4C0F" w:rsidP="00341E39">
                            <w:pPr>
                              <w:pStyle w:val="Default"/>
                              <w:spacing w:after="120" w:line="264" w:lineRule="auto"/>
                              <w:rPr>
                                <w:rFonts w:ascii="Calibri" w:hAnsi="Calibri" w:cs="Calibri"/>
                                <w:color w:val="FFFFFF" w:themeColor="background1"/>
                                <w:sz w:val="20"/>
                                <w:szCs w:val="20"/>
                                <w:lang w:val="fr-FR"/>
                              </w:rPr>
                            </w:pPr>
                            <w:r>
                              <w:rPr>
                                <w:rFonts w:ascii="Calibri" w:eastAsia="Calibri" w:hAnsi="Calibri" w:cs="Calibri"/>
                                <w:color w:val="FFFFFF"/>
                                <w:sz w:val="20"/>
                                <w:szCs w:val="20"/>
                                <w:lang w:val="fr-FR"/>
                              </w:rPr>
                              <w:t>Nous dénonçons les tentatives de nous qualifier de « victimes », un terme qui évoque la défaite, et nous ne sommes qu'occasionnellement des « patients », un terme qui implique la passivité, l'impuissance et la dépendance à l'égard d'autrui. Nous sommes des « personnes vivant avec le VIH ».</w:t>
                            </w:r>
                          </w:p>
                          <w:p w14:paraId="3E297D43" w14:textId="098DE568" w:rsidR="00BC4C0F" w:rsidRPr="00D15745" w:rsidRDefault="00BC4C0F" w:rsidP="00D15745">
                            <w:pPr>
                              <w:pStyle w:val="Default"/>
                              <w:spacing w:after="120" w:line="264" w:lineRule="auto"/>
                              <w:ind w:left="360"/>
                              <w:rPr>
                                <w:rFonts w:ascii="Calibri" w:hAnsi="Calibri" w:cs="Calibri"/>
                                <w:color w:val="FFFFFF" w:themeColor="background1"/>
                                <w:sz w:val="20"/>
                                <w:szCs w:val="20"/>
                                <w:lang w:val="fr-FR"/>
                              </w:rPr>
                            </w:pPr>
                            <w:r>
                              <w:rPr>
                                <w:rFonts w:ascii="Calibri" w:eastAsia="Calibri" w:hAnsi="Calibri" w:cs="Calibri"/>
                                <w:i/>
                                <w:iCs/>
                                <w:color w:val="FFFFFF"/>
                                <w:sz w:val="20"/>
                                <w:szCs w:val="20"/>
                                <w:lang w:val="fr-FR"/>
                              </w:rPr>
                              <w:t>Les Principes de Denver</w:t>
                            </w:r>
                            <w:r>
                              <w:rPr>
                                <w:rFonts w:ascii="Calibri" w:eastAsia="Calibri" w:hAnsi="Calibri" w:cs="Calibri"/>
                                <w:color w:val="FFFFFF"/>
                                <w:sz w:val="20"/>
                                <w:szCs w:val="20"/>
                                <w:lang w:val="fr-FR"/>
                              </w:rPr>
                              <w:t>, 1983</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F1268" id="_x0000_t202" coordsize="21600,21600" o:spt="202" path="m,l,21600r21600,l21600,xe">
                <v:stroke joinstyle="miter"/>
                <v:path gradientshapeok="t" o:connecttype="rect"/>
              </v:shapetype>
              <v:shape id="Text Box 3" o:spid="_x0000_s1026" type="#_x0000_t202" style="position:absolute;margin-left:370.5pt;margin-top:234pt;width:169.5pt;height:14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" fillcolor="#548cc2" stroked="f" strokeweight=".5pt">
                <v:textbox>
                  <w:txbxContent>
                    <w:p w14:paraId="5342A10E" w14:textId="77777777" w:rsidR="00BC4C0F" w:rsidRPr="00D15745" w:rsidRDefault="00BC4C0F" w:rsidP="00341E39">
                      <w:pPr>
                        <w:pStyle w:val="Default"/>
                        <w:spacing w:after="120" w:line="264" w:lineRule="auto"/>
                        <w:rPr>
                          <w:rFonts w:ascii="Calibri" w:hAnsi="Calibri" w:cs="Calibri"/>
                          <w:color w:val="FFFFFF" w:themeColor="background1"/>
                          <w:sz w:val="20"/>
                          <w:szCs w:val="20"/>
                          <w:lang w:val="fr-FR"/>
                        </w:rPr>
                      </w:pPr>
                      <w:r>
                        <w:rPr>
                          <w:rFonts w:ascii="Calibri" w:eastAsia="Calibri" w:hAnsi="Calibri" w:cs="Calibri"/>
                          <w:color w:val="FFFFFF"/>
                          <w:sz w:val="20"/>
                          <w:szCs w:val="20"/>
                          <w:lang w:val="fr-FR"/>
                        </w:rPr>
                        <w:t>Nous dénonçons les tentatives de nous qualifier de « victimes », un terme qui évoque la défaite, et nous ne sommes qu'occasionnellement des « patients », un terme qui implique la passivité, l'impuissance et la dépendance à l'égard d'autrui. Nous sommes des « personnes vivant avec le VIH ».</w:t>
                      </w:r>
                    </w:p>
                    <w:p w14:paraId="3E297D43" w14:textId="098DE568" w:rsidR="00BC4C0F" w:rsidRPr="00D15745" w:rsidRDefault="00BC4C0F" w:rsidP="00D15745">
                      <w:pPr>
                        <w:pStyle w:val="Default"/>
                        <w:spacing w:after="120" w:line="264" w:lineRule="auto"/>
                        <w:ind w:left="360"/>
                        <w:rPr>
                          <w:rFonts w:ascii="Calibri" w:hAnsi="Calibri" w:cs="Calibri"/>
                          <w:color w:val="FFFFFF" w:themeColor="background1"/>
                          <w:sz w:val="20"/>
                          <w:szCs w:val="20"/>
                          <w:lang w:val="fr-FR"/>
                        </w:rPr>
                      </w:pPr>
                      <w:r>
                        <w:rPr>
                          <w:rFonts w:ascii="Calibri" w:eastAsia="Calibri" w:hAnsi="Calibri" w:cs="Calibri"/>
                          <w:i/>
                          <w:iCs/>
                          <w:color w:val="FFFFFF"/>
                          <w:sz w:val="20"/>
                          <w:szCs w:val="20"/>
                          <w:lang w:val="fr-FR"/>
                        </w:rPr>
                        <w:t>Les Principes de Denver</w:t>
                      </w:r>
                      <w:r>
                        <w:rPr>
                          <w:rFonts w:ascii="Calibri" w:eastAsia="Calibri" w:hAnsi="Calibri" w:cs="Calibri"/>
                          <w:color w:val="FFFFFF"/>
                          <w:sz w:val="20"/>
                          <w:szCs w:val="20"/>
                          <w:lang w:val="fr-FR"/>
                        </w:rPr>
                        <w:t>, 1983</w:t>
                      </w:r>
                    </w:p>
                  </w:txbxContent>
                </v:textbox>
                <w10:wrap type="tight" anchorx="page" anchory="page"/>
              </v:shape>
            </w:pict>
          </mc:Fallback>
        </mc:AlternateContent>
      </w:r>
      <w:r w:rsidR="007350F8" w:rsidRPr="000C4E9B">
        <w:rPr>
          <w:rFonts w:ascii="Calibri" w:eastAsia="Calibri" w:hAnsi="Calibri" w:cs="Calibri"/>
          <w:sz w:val="22"/>
          <w:szCs w:val="22"/>
          <w:lang w:val="fr-FR"/>
        </w:rPr>
        <w:t xml:space="preserve">Lorsque des scientifiques et des </w:t>
      </w:r>
      <w:r w:rsidR="007350F8" w:rsidRPr="00BC4C0F">
        <w:rPr>
          <w:rFonts w:ascii="Calibri" w:eastAsia="Calibri" w:hAnsi="Calibri" w:cs="Calibri"/>
          <w:sz w:val="22"/>
          <w:szCs w:val="22"/>
          <w:lang w:val="fr-FR"/>
        </w:rPr>
        <w:t>administrateurs</w:t>
      </w:r>
      <w:r w:rsidR="007350F8" w:rsidRPr="000C4E9B">
        <w:rPr>
          <w:rFonts w:ascii="Calibri" w:eastAsia="Calibri" w:hAnsi="Calibri" w:cs="Calibri"/>
          <w:sz w:val="22"/>
          <w:szCs w:val="22"/>
          <w:lang w:val="fr-FR"/>
        </w:rPr>
        <w:t xml:space="preserve"> écrivent ou parlent du VIH, les termes qu'ils utilisent peuvent contribuer à entretenir l'ignorance et les préjugés. À l'inverse, ils peuvent également présenter les individus et les idées avec respect et précision. Ce guide a été conçu pour aider les membres </w:t>
      </w:r>
      <w:r w:rsidR="00232D53" w:rsidRPr="000C4E9B">
        <w:rPr>
          <w:rFonts w:ascii="Calibri" w:eastAsia="Calibri" w:hAnsi="Calibri" w:cs="Calibri"/>
          <w:sz w:val="22"/>
          <w:szCs w:val="22"/>
          <w:lang w:val="fr-FR"/>
        </w:rPr>
        <w:t xml:space="preserve">de l’Institut national des allergies et des maladies infectieuses (National Institute of </w:t>
      </w:r>
      <w:proofErr w:type="spellStart"/>
      <w:r w:rsidR="00232D53" w:rsidRPr="000C4E9B">
        <w:rPr>
          <w:rFonts w:ascii="Calibri" w:eastAsia="Calibri" w:hAnsi="Calibri" w:cs="Calibri"/>
          <w:sz w:val="22"/>
          <w:szCs w:val="22"/>
          <w:lang w:val="fr-FR"/>
        </w:rPr>
        <w:t>Allergy</w:t>
      </w:r>
      <w:proofErr w:type="spellEnd"/>
      <w:r w:rsidR="00232D53" w:rsidRPr="000C4E9B">
        <w:rPr>
          <w:rFonts w:ascii="Calibri" w:eastAsia="Calibri" w:hAnsi="Calibri" w:cs="Calibri"/>
          <w:sz w:val="22"/>
          <w:szCs w:val="22"/>
          <w:lang w:val="fr-FR"/>
        </w:rPr>
        <w:t xml:space="preserve"> and </w:t>
      </w:r>
      <w:proofErr w:type="spellStart"/>
      <w:r w:rsidR="00232D53" w:rsidRPr="000C4E9B">
        <w:rPr>
          <w:rFonts w:ascii="Calibri" w:eastAsia="Calibri" w:hAnsi="Calibri" w:cs="Calibri"/>
          <w:sz w:val="22"/>
          <w:szCs w:val="22"/>
          <w:lang w:val="fr-FR"/>
        </w:rPr>
        <w:t>Infectious</w:t>
      </w:r>
      <w:proofErr w:type="spellEnd"/>
      <w:r w:rsidR="00232D53" w:rsidRPr="000C4E9B">
        <w:rPr>
          <w:rFonts w:ascii="Calibri" w:eastAsia="Calibri" w:hAnsi="Calibri" w:cs="Calibri"/>
          <w:sz w:val="22"/>
          <w:szCs w:val="22"/>
          <w:lang w:val="fr-FR"/>
        </w:rPr>
        <w:t xml:space="preserve"> </w:t>
      </w:r>
      <w:proofErr w:type="spellStart"/>
      <w:r w:rsidR="00232D53" w:rsidRPr="000C4E9B">
        <w:rPr>
          <w:rFonts w:ascii="Calibri" w:eastAsia="Calibri" w:hAnsi="Calibri" w:cs="Calibri"/>
          <w:sz w:val="22"/>
          <w:szCs w:val="22"/>
          <w:lang w:val="fr-FR"/>
        </w:rPr>
        <w:t>Diseases</w:t>
      </w:r>
      <w:proofErr w:type="spellEnd"/>
      <w:r w:rsidR="00232D53" w:rsidRPr="000C4E9B">
        <w:rPr>
          <w:rFonts w:ascii="Calibri" w:eastAsia="Calibri" w:hAnsi="Calibri" w:cs="Calibri"/>
          <w:sz w:val="22"/>
          <w:szCs w:val="22"/>
          <w:lang w:val="fr-FR"/>
        </w:rPr>
        <w:t xml:space="preserve">, NIAID) </w:t>
      </w:r>
      <w:r w:rsidR="007350F8" w:rsidRPr="000C4E9B">
        <w:rPr>
          <w:rFonts w:ascii="Calibri" w:eastAsia="Calibri" w:hAnsi="Calibri" w:cs="Calibri"/>
          <w:sz w:val="22"/>
          <w:szCs w:val="22"/>
          <w:lang w:val="fr-FR"/>
        </w:rPr>
        <w:t>à communiquer sur leur travail en utilisant un langage responsabilisant plutôt que stigmatisant, en particulier en ce qui concerne le VIH.</w:t>
      </w:r>
    </w:p>
    <w:p w14:paraId="6E6E77B4" w14:textId="4F76FEB8" w:rsidR="00341E39" w:rsidRPr="000C4E9B" w:rsidRDefault="007350F8" w:rsidP="00417223">
      <w:pPr>
        <w:pStyle w:val="Default"/>
        <w:spacing w:after="120" w:line="276" w:lineRule="auto"/>
        <w:rPr>
          <w:rFonts w:ascii="Calibri" w:eastAsia="Calibri" w:hAnsi="Calibri" w:cs="Calibri"/>
          <w:sz w:val="22"/>
          <w:szCs w:val="22"/>
          <w:lang w:val="fr-FR"/>
        </w:rPr>
      </w:pPr>
      <w:r w:rsidRPr="000C4E9B">
        <w:rPr>
          <w:rFonts w:ascii="Calibri" w:eastAsia="Calibri" w:hAnsi="Calibri" w:cs="Calibri"/>
          <w:sz w:val="22"/>
          <w:szCs w:val="22"/>
          <w:lang w:val="fr-FR"/>
        </w:rPr>
        <w:t xml:space="preserve">Depuis la publication en 1983 du manifeste d'autonomisation intitulé </w:t>
      </w:r>
      <w:r w:rsidR="00232D53" w:rsidRPr="000C4E9B">
        <w:rPr>
          <w:rFonts w:ascii="Calibri" w:eastAsia="Calibri" w:hAnsi="Calibri" w:cs="Calibri"/>
          <w:i/>
          <w:iCs/>
          <w:sz w:val="22"/>
          <w:szCs w:val="22"/>
          <w:lang w:val="fr-FR"/>
        </w:rPr>
        <w:t>Les Principes de Denver</w:t>
      </w:r>
      <w:r w:rsidRPr="000C4E9B">
        <w:rPr>
          <w:rFonts w:ascii="Calibri" w:eastAsia="Calibri" w:hAnsi="Calibri" w:cs="Calibri"/>
          <w:sz w:val="22"/>
          <w:szCs w:val="22"/>
          <w:lang w:val="fr-FR"/>
        </w:rPr>
        <w:t>, les mots utilisés sont devenus un axe majeur de la lutte contre la stigmatisation liée au VIH. De nombreux groupes de défense de la lutte contre le VIH et de nombreux médias adoptent des slogans tels que « </w:t>
      </w:r>
      <w:proofErr w:type="spellStart"/>
      <w:r w:rsidRPr="000C4E9B">
        <w:rPr>
          <w:rFonts w:ascii="Calibri" w:eastAsia="Calibri" w:hAnsi="Calibri" w:cs="Calibri"/>
          <w:sz w:val="22"/>
          <w:szCs w:val="22"/>
          <w:lang w:val="fr-FR"/>
        </w:rPr>
        <w:t>language</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matters</w:t>
      </w:r>
      <w:proofErr w:type="spellEnd"/>
      <w:r w:rsidRPr="000C4E9B">
        <w:rPr>
          <w:rFonts w:ascii="Calibri" w:eastAsia="Calibri" w:hAnsi="Calibri" w:cs="Calibri"/>
          <w:sz w:val="22"/>
          <w:szCs w:val="22"/>
          <w:lang w:val="fr-FR"/>
        </w:rPr>
        <w:t> » (« les mots sont importants ») et font la promotion de manuels sur l'utilisation d'un vocabulaire responsabilisant, tout comme d'autres organisations qui militent contre d'autres affections et des groupes marginalisés. Les discussions sur le choix des termes sont fréquentes lors des manifestations, des conférences et des séances d'écoute.</w:t>
      </w:r>
    </w:p>
    <w:p w14:paraId="1EF3149A" w14:textId="4E35522F" w:rsidR="00341E39" w:rsidRPr="00D15745" w:rsidRDefault="007350F8" w:rsidP="00D15745">
      <w:pPr>
        <w:pStyle w:val="Default"/>
        <w:spacing w:after="120" w:line="276" w:lineRule="auto"/>
        <w:rPr>
          <w:rFonts w:asciiTheme="minorHAnsi" w:hAnsiTheme="minorHAnsi" w:cstheme="minorHAnsi"/>
          <w:color w:val="auto"/>
          <w:sz w:val="22"/>
          <w:szCs w:val="22"/>
          <w:lang w:val="fr-FR"/>
        </w:rPr>
      </w:pPr>
      <w:r w:rsidRPr="000C4E9B">
        <w:rPr>
          <w:rFonts w:ascii="Calibri" w:eastAsia="Calibri" w:hAnsi="Calibri" w:cs="Calibri"/>
          <w:sz w:val="22"/>
          <w:szCs w:val="22"/>
          <w:lang w:val="fr-FR"/>
        </w:rPr>
        <w:t>L’utilisation d’un vocabulaire responsabilisant reste un objectif important pour ces organisations car les mots employés contribuent à renforcer la stigmatisation, laquelle, comme les études le démontrent, contribue à renforcer l'épidémie de VIH. Alors que de nombreux facteurs de stigmatisation liés à la santé et à la société sont bien ancrés et systémiques, les responsables du NIAID ont le pouvoir et la possibilité immédiats d’adopter un vocabulaire plus approprié et de montrer l'exemple.</w:t>
      </w:r>
    </w:p>
    <w:p w14:paraId="6E6A141C" w14:textId="77777777" w:rsidR="00341E39" w:rsidRPr="00D15745" w:rsidRDefault="00341E39" w:rsidP="00417223">
      <w:pPr>
        <w:pStyle w:val="Default"/>
        <w:spacing w:after="120" w:line="276" w:lineRule="auto"/>
        <w:rPr>
          <w:rFonts w:asciiTheme="minorHAnsi" w:hAnsiTheme="minorHAnsi" w:cstheme="minorHAnsi"/>
          <w:sz w:val="22"/>
          <w:szCs w:val="22"/>
          <w:lang w:val="fr-FR"/>
        </w:rPr>
        <w:sectPr w:rsidR="00341E39" w:rsidRPr="00D15745" w:rsidSect="00781189">
          <w:headerReference w:type="default" r:id="rId10"/>
          <w:pgSz w:w="12240" w:h="15840"/>
          <w:pgMar w:top="1440" w:right="1440" w:bottom="1440" w:left="1440" w:header="720" w:footer="720" w:gutter="0"/>
          <w:pgNumType w:start="1"/>
          <w:cols w:space="720"/>
          <w:docGrid w:linePitch="360"/>
        </w:sect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90"/>
      </w:tblGrid>
      <w:tr w:rsidR="00896FB7" w:rsidRPr="00EE1EE3" w14:paraId="3433CE7B" w14:textId="77777777" w:rsidTr="00341E39">
        <w:trPr>
          <w:jc w:val="center"/>
        </w:trPr>
        <w:tc>
          <w:tcPr>
            <w:tcW w:w="4140" w:type="dxa"/>
          </w:tcPr>
          <w:p w14:paraId="769270E7" w14:textId="77777777" w:rsidR="00341E39" w:rsidRPr="00727EC8" w:rsidRDefault="007350F8" w:rsidP="00417223">
            <w:pPr>
              <w:pStyle w:val="Default"/>
              <w:spacing w:line="276" w:lineRule="auto"/>
              <w:rPr>
                <w:rFonts w:asciiTheme="minorHAnsi" w:hAnsiTheme="minorHAnsi" w:cstheme="minorHAnsi"/>
                <w:i/>
                <w:iCs/>
                <w:color w:val="2E74B5"/>
                <w:sz w:val="18"/>
                <w:szCs w:val="18"/>
              </w:rPr>
            </w:pPr>
            <w:r w:rsidRPr="00727EC8">
              <w:rPr>
                <w:rFonts w:asciiTheme="minorHAnsi" w:hAnsiTheme="minorHAnsi" w:cstheme="minorHAnsi"/>
                <w:noProof/>
                <w:sz w:val="22"/>
                <w:szCs w:val="22"/>
                <w:lang w:val="fr-CH" w:eastAsia="fr-CH"/>
              </w:rPr>
              <w:lastRenderedPageBreak/>
              <mc:AlternateContent>
                <mc:Choice Requires="wps">
                  <w:drawing>
                    <wp:anchor distT="0" distB="0" distL="114300" distR="114300" simplePos="0" relativeHeight="251671552" behindDoc="0" locked="0" layoutInCell="1" allowOverlap="1" wp14:anchorId="2859706C" wp14:editId="57BF88A0">
                      <wp:simplePos x="0" y="0"/>
                      <wp:positionH relativeFrom="page">
                        <wp:posOffset>1374940</wp:posOffset>
                      </wp:positionH>
                      <wp:positionV relativeFrom="page">
                        <wp:posOffset>1822862</wp:posOffset>
                      </wp:positionV>
                      <wp:extent cx="891209" cy="261257"/>
                      <wp:effectExtent l="0" t="0" r="4445" b="5715"/>
                      <wp:wrapNone/>
                      <wp:docPr id="10" name="Text Box 10"/>
                      <wp:cNvGraphicFramePr/>
                      <a:graphic xmlns:a="http://schemas.openxmlformats.org/drawingml/2006/main">
                        <a:graphicData uri="http://schemas.microsoft.com/office/word/2010/wordprocessingShape">
                          <wps:wsp>
                            <wps:cNvSpPr txBox="1"/>
                            <wps:spPr>
                              <a:xfrm>
                                <a:off x="0" y="0"/>
                                <a:ext cx="891209" cy="261257"/>
                              </a:xfrm>
                              <a:prstGeom prst="rect">
                                <a:avLst/>
                              </a:prstGeom>
                              <a:solidFill>
                                <a:srgbClr val="06ACD3"/>
                              </a:solidFill>
                              <a:ln w="6350">
                                <a:noFill/>
                              </a:ln>
                            </wps:spPr>
                            <wps:txbx>
                              <w:txbxContent>
                                <w:p w14:paraId="0BC8077F" w14:textId="77777777" w:rsidR="00BC4C0F" w:rsidRPr="003711C6" w:rsidRDefault="00BC4C0F" w:rsidP="006D0CE9">
                                  <w:pPr>
                                    <w:spacing w:after="0" w:line="240" w:lineRule="auto"/>
                                    <w:jc w:val="right"/>
                                    <w:rPr>
                                      <w:rFonts w:ascii="Times New Roman" w:hAnsi="Times New Roman" w:cs="Times New Roman"/>
                                      <w:color w:val="FFFFFF" w:themeColor="background1"/>
                                      <w:sz w:val="10"/>
                                      <w:szCs w:val="10"/>
                                      <w:lang w:val="fr-FR"/>
                                    </w:rPr>
                                  </w:pPr>
                                  <w:r>
                                    <w:rPr>
                                      <w:rFonts w:ascii="Times New Roman" w:eastAsia="Times New Roman" w:hAnsi="Times New Roman" w:cs="Times New Roman"/>
                                      <w:color w:val="FFFFFF"/>
                                      <w:sz w:val="10"/>
                                      <w:szCs w:val="10"/>
                                      <w:lang w:val="fr-FR"/>
                                    </w:rPr>
                                    <w:t>CHANGER LA LANGUE</w:t>
                                  </w:r>
                                </w:p>
                                <w:p w14:paraId="13D45753" w14:textId="77777777" w:rsidR="00BC4C0F" w:rsidRPr="00D15745" w:rsidRDefault="00BC4C0F" w:rsidP="006D0CE9">
                                  <w:pPr>
                                    <w:spacing w:after="0" w:line="240" w:lineRule="auto"/>
                                    <w:jc w:val="right"/>
                                    <w:rPr>
                                      <w:rFonts w:ascii="Times New Roman" w:hAnsi="Times New Roman" w:cs="Times New Roman"/>
                                      <w:color w:val="FFFFFF" w:themeColor="background1"/>
                                      <w:sz w:val="10"/>
                                      <w:szCs w:val="10"/>
                                      <w:lang w:val="fr-FR"/>
                                    </w:rPr>
                                  </w:pPr>
                                  <w:r>
                                    <w:rPr>
                                      <w:rFonts w:ascii="Times New Roman" w:eastAsia="Times New Roman" w:hAnsi="Times New Roman" w:cs="Times New Roman"/>
                                      <w:color w:val="FFFFFF"/>
                                      <w:sz w:val="10"/>
                                      <w:szCs w:val="10"/>
                                      <w:lang w:val="fr-FR"/>
                                    </w:rPr>
                                    <w:t>METTRE FIN À LA STIGMATISATION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9706C" id="Text Box 10" o:spid="_x0000_s1027" type="#_x0000_t202" style="position:absolute;margin-left:108.25pt;margin-top:143.55pt;width:70.15pt;height:20.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" fillcolor="#06acd3" stroked="f" strokeweight=".5pt">
                      <v:textbox inset="0,0,0,0">
                        <w:txbxContent>
                          <w:p w14:paraId="0BC8077F" w14:textId="77777777" w:rsidR="00BC4C0F" w:rsidRPr="003711C6" w:rsidRDefault="00BC4C0F" w:rsidP="006D0CE9">
                            <w:pPr>
                              <w:spacing w:after="0" w:line="240" w:lineRule="auto"/>
                              <w:jc w:val="right"/>
                              <w:rPr>
                                <w:rFonts w:ascii="Times New Roman" w:hAnsi="Times New Roman" w:cs="Times New Roman"/>
                                <w:color w:val="FFFFFF" w:themeColor="background1"/>
                                <w:sz w:val="10"/>
                                <w:szCs w:val="10"/>
                                <w:lang w:val="fr-FR"/>
                              </w:rPr>
                            </w:pPr>
                            <w:r>
                              <w:rPr>
                                <w:rFonts w:ascii="Times New Roman" w:eastAsia="Times New Roman" w:hAnsi="Times New Roman" w:cs="Times New Roman"/>
                                <w:color w:val="FFFFFF"/>
                                <w:sz w:val="10"/>
                                <w:szCs w:val="10"/>
                                <w:lang w:val="fr-FR"/>
                              </w:rPr>
                              <w:t>CHANGER LA LANGUE</w:t>
                            </w:r>
                          </w:p>
                          <w:p w14:paraId="13D45753" w14:textId="77777777" w:rsidR="00BC4C0F" w:rsidRPr="00D15745" w:rsidRDefault="00BC4C0F" w:rsidP="006D0CE9">
                            <w:pPr>
                              <w:spacing w:after="0" w:line="240" w:lineRule="auto"/>
                              <w:jc w:val="right"/>
                              <w:rPr>
                                <w:rFonts w:ascii="Times New Roman" w:hAnsi="Times New Roman" w:cs="Times New Roman"/>
                                <w:color w:val="FFFFFF" w:themeColor="background1"/>
                                <w:sz w:val="10"/>
                                <w:szCs w:val="10"/>
                                <w:lang w:val="fr-FR"/>
                              </w:rPr>
                            </w:pPr>
                            <w:r>
                              <w:rPr>
                                <w:rFonts w:ascii="Times New Roman" w:eastAsia="Times New Roman" w:hAnsi="Times New Roman" w:cs="Times New Roman"/>
                                <w:color w:val="FFFFFF"/>
                                <w:sz w:val="10"/>
                                <w:szCs w:val="10"/>
                                <w:lang w:val="fr-FR"/>
                              </w:rPr>
                              <w:t>METTRE FIN À LA STIGMATISATION</w:t>
                            </w:r>
                          </w:p>
                        </w:txbxContent>
                      </v:textbox>
                      <w10:wrap anchorx="page" anchory="page"/>
                    </v:shape>
                  </w:pict>
                </mc:Fallback>
              </mc:AlternateContent>
            </w:r>
            <w:r w:rsidRPr="00727EC8">
              <w:rPr>
                <w:rFonts w:asciiTheme="minorHAnsi" w:hAnsiTheme="minorHAnsi" w:cstheme="minorHAnsi"/>
                <w:noProof/>
                <w:sz w:val="22"/>
                <w:szCs w:val="22"/>
                <w:lang w:val="fr-CH" w:eastAsia="fr-CH"/>
              </w:rPr>
              <mc:AlternateContent>
                <mc:Choice Requires="wps">
                  <w:drawing>
                    <wp:anchor distT="0" distB="0" distL="114300" distR="114300" simplePos="0" relativeHeight="251669504" behindDoc="0" locked="0" layoutInCell="1" allowOverlap="1" wp14:anchorId="058B113D" wp14:editId="43210DC7">
                      <wp:simplePos x="0" y="0"/>
                      <wp:positionH relativeFrom="page">
                        <wp:posOffset>382695</wp:posOffset>
                      </wp:positionH>
                      <wp:positionV relativeFrom="page">
                        <wp:posOffset>1514649</wp:posOffset>
                      </wp:positionV>
                      <wp:extent cx="1884898" cy="224393"/>
                      <wp:effectExtent l="0" t="0" r="1270" b="4445"/>
                      <wp:wrapNone/>
                      <wp:docPr id="9" name="Text Box 9"/>
                      <wp:cNvGraphicFramePr/>
                      <a:graphic xmlns:a="http://schemas.openxmlformats.org/drawingml/2006/main">
                        <a:graphicData uri="http://schemas.microsoft.com/office/word/2010/wordprocessingShape">
                          <wps:wsp>
                            <wps:cNvSpPr txBox="1"/>
                            <wps:spPr>
                              <a:xfrm>
                                <a:off x="0" y="0"/>
                                <a:ext cx="1884898" cy="224393"/>
                              </a:xfrm>
                              <a:prstGeom prst="rect">
                                <a:avLst/>
                              </a:prstGeom>
                              <a:solidFill>
                                <a:srgbClr val="058CC4"/>
                              </a:solidFill>
                              <a:ln w="6350">
                                <a:noFill/>
                              </a:ln>
                            </wps:spPr>
                            <wps:txbx>
                              <w:txbxContent>
                                <w:p w14:paraId="6F1B24C2" w14:textId="77777777" w:rsidR="00BC4C0F" w:rsidRPr="006D0CE9" w:rsidRDefault="00BC4C0F" w:rsidP="006D0CE9">
                                  <w:pPr>
                                    <w:spacing w:after="0" w:line="240" w:lineRule="auto"/>
                                    <w:jc w:val="center"/>
                                    <w:rPr>
                                      <w:rFonts w:ascii="Times New Roman" w:hAnsi="Times New Roman" w:cs="Times New Roman"/>
                                      <w:color w:val="FFFFFF" w:themeColor="background1"/>
                                      <w:sz w:val="28"/>
                                      <w:szCs w:val="28"/>
                                    </w:rPr>
                                  </w:pPr>
                                  <w:r>
                                    <w:rPr>
                                      <w:rFonts w:ascii="Times New Roman" w:eastAsia="Times New Roman" w:hAnsi="Times New Roman" w:cs="Times New Roman"/>
                                      <w:color w:val="FFFFFF"/>
                                      <w:sz w:val="28"/>
                                      <w:szCs w:val="28"/>
                                      <w:lang w:val="fr-FR"/>
                                    </w:rPr>
                                    <w:t>ne sont pas « infectées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8B113D" id="Text Box 9" o:spid="_x0000_s1028" type="#_x0000_t202" style="position:absolute;margin-left:30.15pt;margin-top:119.25pt;width:148.4pt;height:1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" fillcolor="#058cc4" stroked="f" strokeweight=".5pt">
                      <v:textbox inset="0,0,0,0">
                        <w:txbxContent>
                          <w:p w14:paraId="6F1B24C2" w14:textId="77777777" w:rsidR="00BC4C0F" w:rsidRPr="006D0CE9" w:rsidRDefault="00BC4C0F" w:rsidP="006D0CE9">
                            <w:pPr>
                              <w:spacing w:after="0" w:line="240" w:lineRule="auto"/>
                              <w:jc w:val="center"/>
                              <w:rPr>
                                <w:rFonts w:ascii="Times New Roman" w:hAnsi="Times New Roman" w:cs="Times New Roman"/>
                                <w:color w:val="FFFFFF" w:themeColor="background1"/>
                                <w:sz w:val="28"/>
                                <w:szCs w:val="28"/>
                              </w:rPr>
                            </w:pPr>
                            <w:proofErr w:type="gramStart"/>
                            <w:r>
                              <w:rPr>
                                <w:rFonts w:ascii="Times New Roman" w:eastAsia="Times New Roman" w:hAnsi="Times New Roman" w:cs="Times New Roman"/>
                                <w:color w:val="FFFFFF"/>
                                <w:sz w:val="28"/>
                                <w:szCs w:val="28"/>
                                <w:lang w:val="fr-FR"/>
                              </w:rPr>
                              <w:t>ne</w:t>
                            </w:r>
                            <w:proofErr w:type="gramEnd"/>
                            <w:r>
                              <w:rPr>
                                <w:rFonts w:ascii="Times New Roman" w:eastAsia="Times New Roman" w:hAnsi="Times New Roman" w:cs="Times New Roman"/>
                                <w:color w:val="FFFFFF"/>
                                <w:sz w:val="28"/>
                                <w:szCs w:val="28"/>
                                <w:lang w:val="fr-FR"/>
                              </w:rPr>
                              <w:t xml:space="preserve"> sont pas « infectées »</w:t>
                            </w:r>
                          </w:p>
                        </w:txbxContent>
                      </v:textbox>
                      <w10:wrap anchorx="page" anchory="page"/>
                    </v:shape>
                  </w:pict>
                </mc:Fallback>
              </mc:AlternateContent>
            </w:r>
            <w:r w:rsidRPr="00727EC8">
              <w:rPr>
                <w:rFonts w:asciiTheme="minorHAnsi" w:hAnsiTheme="minorHAnsi" w:cstheme="minorHAnsi"/>
                <w:noProof/>
                <w:sz w:val="22"/>
                <w:szCs w:val="22"/>
                <w:lang w:val="fr-CH" w:eastAsia="fr-CH"/>
              </w:rPr>
              <mc:AlternateContent>
                <mc:Choice Requires="wps">
                  <w:drawing>
                    <wp:anchor distT="0" distB="0" distL="114300" distR="114300" simplePos="0" relativeHeight="251667456" behindDoc="0" locked="0" layoutInCell="1" allowOverlap="1" wp14:anchorId="661A631B" wp14:editId="1D58FE85">
                      <wp:simplePos x="0" y="0"/>
                      <wp:positionH relativeFrom="page">
                        <wp:posOffset>528362</wp:posOffset>
                      </wp:positionH>
                      <wp:positionV relativeFrom="page">
                        <wp:posOffset>1267211</wp:posOffset>
                      </wp:positionV>
                      <wp:extent cx="1385169" cy="112196"/>
                      <wp:effectExtent l="0" t="0" r="5715" b="2540"/>
                      <wp:wrapNone/>
                      <wp:docPr id="8" name="Text Box 8"/>
                      <wp:cNvGraphicFramePr/>
                      <a:graphic xmlns:a="http://schemas.openxmlformats.org/drawingml/2006/main">
                        <a:graphicData uri="http://schemas.microsoft.com/office/word/2010/wordprocessingShape">
                          <wps:wsp>
                            <wps:cNvSpPr txBox="1"/>
                            <wps:spPr>
                              <a:xfrm>
                                <a:off x="0" y="0"/>
                                <a:ext cx="1385169" cy="112196"/>
                              </a:xfrm>
                              <a:prstGeom prst="rect">
                                <a:avLst/>
                              </a:prstGeom>
                              <a:solidFill>
                                <a:srgbClr val="105B91"/>
                              </a:solidFill>
                              <a:ln w="6350">
                                <a:noFill/>
                              </a:ln>
                            </wps:spPr>
                            <wps:txbx>
                              <w:txbxContent>
                                <w:p w14:paraId="5946BB3C" w14:textId="77777777" w:rsidR="00BC4C0F" w:rsidRPr="006D0CE9" w:rsidRDefault="00BC4C0F" w:rsidP="006D0CE9">
                                  <w:pPr>
                                    <w:spacing w:after="0" w:line="240" w:lineRule="auto"/>
                                    <w:jc w:val="center"/>
                                    <w:rPr>
                                      <w:rFonts w:ascii="Times New Roman" w:hAnsi="Times New Roman" w:cs="Times New Roman"/>
                                      <w:color w:val="FFFFFF" w:themeColor="background1"/>
                                      <w:sz w:val="12"/>
                                      <w:szCs w:val="12"/>
                                    </w:rPr>
                                  </w:pPr>
                                  <w:r>
                                    <w:rPr>
                                      <w:rFonts w:ascii="Times New Roman" w:eastAsia="Times New Roman" w:hAnsi="Times New Roman" w:cs="Times New Roman"/>
                                      <w:color w:val="FFFFFF"/>
                                      <w:sz w:val="12"/>
                                      <w:szCs w:val="12"/>
                                      <w:lang w:val="fr-FR"/>
                                    </w:rPr>
                                    <w:t>PERSONNES VIVANT AVEC LE VIH</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1A631B" id="Text Box 8" o:spid="_x0000_s1029" type="#_x0000_t202" style="position:absolute;margin-left:41.6pt;margin-top:99.8pt;width:109.05pt;height:8.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" fillcolor="#105b91" stroked="f" strokeweight=".5pt">
                      <v:textbox inset="0,0,0,0">
                        <w:txbxContent>
                          <w:p w14:paraId="5946BB3C" w14:textId="77777777" w:rsidR="00BC4C0F" w:rsidRPr="006D0CE9" w:rsidRDefault="00BC4C0F" w:rsidP="006D0CE9">
                            <w:pPr>
                              <w:spacing w:after="0" w:line="240" w:lineRule="auto"/>
                              <w:jc w:val="center"/>
                              <w:rPr>
                                <w:rFonts w:ascii="Times New Roman" w:hAnsi="Times New Roman" w:cs="Times New Roman"/>
                                <w:color w:val="FFFFFF" w:themeColor="background1"/>
                                <w:sz w:val="12"/>
                                <w:szCs w:val="12"/>
                              </w:rPr>
                            </w:pPr>
                            <w:r>
                              <w:rPr>
                                <w:rFonts w:ascii="Times New Roman" w:eastAsia="Times New Roman" w:hAnsi="Times New Roman" w:cs="Times New Roman"/>
                                <w:color w:val="FFFFFF"/>
                                <w:sz w:val="12"/>
                                <w:szCs w:val="12"/>
                                <w:lang w:val="fr-FR"/>
                              </w:rPr>
                              <w:t>PERSONNES VIVANT AVEC LE VIH</w:t>
                            </w:r>
                          </w:p>
                        </w:txbxContent>
                      </v:textbox>
                      <w10:wrap anchorx="page" anchory="page"/>
                    </v:shape>
                  </w:pict>
                </mc:Fallback>
              </mc:AlternateContent>
            </w:r>
            <w:r w:rsidR="00FE7345" w:rsidRPr="00727EC8">
              <w:rPr>
                <w:rFonts w:asciiTheme="minorHAnsi" w:hAnsiTheme="minorHAnsi" w:cstheme="minorHAnsi"/>
                <w:noProof/>
                <w:sz w:val="22"/>
                <w:szCs w:val="22"/>
                <w:lang w:val="fr-CH" w:eastAsia="fr-CH"/>
              </w:rPr>
              <mc:AlternateContent>
                <mc:Choice Requires="wps">
                  <w:drawing>
                    <wp:anchor distT="0" distB="0" distL="114300" distR="114300" simplePos="0" relativeHeight="251664384" behindDoc="0" locked="0" layoutInCell="1" allowOverlap="1" wp14:anchorId="7A28E385" wp14:editId="0DAD4FCB">
                      <wp:simplePos x="0" y="0"/>
                      <wp:positionH relativeFrom="page">
                        <wp:posOffset>348615</wp:posOffset>
                      </wp:positionH>
                      <wp:positionV relativeFrom="page">
                        <wp:posOffset>37360</wp:posOffset>
                      </wp:positionV>
                      <wp:extent cx="1194891" cy="190734"/>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194891" cy="190734"/>
                              </a:xfrm>
                              <a:prstGeom prst="rect">
                                <a:avLst/>
                              </a:prstGeom>
                              <a:solidFill>
                                <a:schemeClr val="lt1"/>
                              </a:solidFill>
                              <a:ln w="6350">
                                <a:noFill/>
                              </a:ln>
                            </wps:spPr>
                            <wps:txbx>
                              <w:txbxContent>
                                <w:p w14:paraId="05DB29C9" w14:textId="77777777" w:rsidR="00BC4C0F" w:rsidRPr="00FE7345" w:rsidRDefault="00BC4C0F" w:rsidP="00FE7345">
                                  <w:pPr>
                                    <w:spacing w:after="0" w:line="240" w:lineRule="auto"/>
                                    <w:rPr>
                                      <w:rFonts w:ascii="Arial" w:hAnsi="Arial" w:cs="Arial"/>
                                      <w:b/>
                                      <w:bCs/>
                                      <w:sz w:val="10"/>
                                      <w:szCs w:val="10"/>
                                    </w:rPr>
                                  </w:pPr>
                                  <w:r>
                                    <w:rPr>
                                      <w:rFonts w:ascii="Arial" w:eastAsia="Arial" w:hAnsi="Arial" w:cs="Arial"/>
                                      <w:b/>
                                      <w:bCs/>
                                      <w:sz w:val="10"/>
                                      <w:szCs w:val="10"/>
                                      <w:lang w:val="fr-FR"/>
                                    </w:rPr>
                                    <w:t>Dric HIV Adoni_Official</w:t>
                                  </w:r>
                                </w:p>
                                <w:p w14:paraId="43DEC73B" w14:textId="77777777" w:rsidR="00BC4C0F" w:rsidRPr="00FE7345" w:rsidRDefault="00BC4C0F" w:rsidP="00FE7345">
                                  <w:pPr>
                                    <w:spacing w:after="0" w:line="240" w:lineRule="auto"/>
                                    <w:rPr>
                                      <w:rFonts w:ascii="Arial" w:hAnsi="Arial" w:cs="Arial"/>
                                      <w:sz w:val="10"/>
                                      <w:szCs w:val="10"/>
                                    </w:rPr>
                                  </w:pPr>
                                  <w:r>
                                    <w:rPr>
                                      <w:rFonts w:ascii="Arial" w:eastAsia="Arial" w:hAnsi="Arial" w:cs="Arial"/>
                                      <w:sz w:val="10"/>
                                      <w:szCs w:val="10"/>
                                      <w:lang w:val="fr-FR"/>
                                    </w:rPr>
                                    <w:t>@DricHIVAdoni1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28E385" id="Text Box 7" o:spid="_x0000_s1030" type="#_x0000_t202" style="position:absolute;margin-left:27.45pt;margin-top:2.95pt;width:94.1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" fillcolor="white [3201]" stroked="f" strokeweight=".5pt">
                      <v:textbox inset="0,0,0,0">
                        <w:txbxContent>
                          <w:p w14:paraId="05DB29C9" w14:textId="77777777" w:rsidR="00BC4C0F" w:rsidRPr="00FE7345" w:rsidRDefault="00BC4C0F" w:rsidP="00FE7345">
                            <w:pPr>
                              <w:spacing w:after="0" w:line="240" w:lineRule="auto"/>
                              <w:rPr>
                                <w:rFonts w:ascii="Arial" w:hAnsi="Arial" w:cs="Arial"/>
                                <w:b/>
                                <w:bCs/>
                                <w:sz w:val="10"/>
                                <w:szCs w:val="10"/>
                              </w:rPr>
                            </w:pPr>
                            <w:proofErr w:type="spellStart"/>
                            <w:r>
                              <w:rPr>
                                <w:rFonts w:ascii="Arial" w:eastAsia="Arial" w:hAnsi="Arial" w:cs="Arial"/>
                                <w:b/>
                                <w:bCs/>
                                <w:sz w:val="10"/>
                                <w:szCs w:val="10"/>
                                <w:lang w:val="fr-FR"/>
                              </w:rPr>
                              <w:t>Dric</w:t>
                            </w:r>
                            <w:proofErr w:type="spellEnd"/>
                            <w:r>
                              <w:rPr>
                                <w:rFonts w:ascii="Arial" w:eastAsia="Arial" w:hAnsi="Arial" w:cs="Arial"/>
                                <w:b/>
                                <w:bCs/>
                                <w:sz w:val="10"/>
                                <w:szCs w:val="10"/>
                                <w:lang w:val="fr-FR"/>
                              </w:rPr>
                              <w:t xml:space="preserve"> HIV </w:t>
                            </w:r>
                            <w:proofErr w:type="spellStart"/>
                            <w:r>
                              <w:rPr>
                                <w:rFonts w:ascii="Arial" w:eastAsia="Arial" w:hAnsi="Arial" w:cs="Arial"/>
                                <w:b/>
                                <w:bCs/>
                                <w:sz w:val="10"/>
                                <w:szCs w:val="10"/>
                                <w:lang w:val="fr-FR"/>
                              </w:rPr>
                              <w:t>Adoni_Official</w:t>
                            </w:r>
                            <w:proofErr w:type="spellEnd"/>
                          </w:p>
                          <w:p w14:paraId="43DEC73B" w14:textId="77777777" w:rsidR="00BC4C0F" w:rsidRPr="00FE7345" w:rsidRDefault="00BC4C0F" w:rsidP="00FE7345">
                            <w:pPr>
                              <w:spacing w:after="0" w:line="240" w:lineRule="auto"/>
                              <w:rPr>
                                <w:rFonts w:ascii="Arial" w:hAnsi="Arial" w:cs="Arial"/>
                                <w:sz w:val="10"/>
                                <w:szCs w:val="10"/>
                              </w:rPr>
                            </w:pPr>
                            <w:r>
                              <w:rPr>
                                <w:rFonts w:ascii="Arial" w:eastAsia="Arial" w:hAnsi="Arial" w:cs="Arial"/>
                                <w:sz w:val="10"/>
                                <w:szCs w:val="10"/>
                                <w:lang w:val="fr-FR"/>
                              </w:rPr>
                              <w:t>@DricHIVAdoni1</w:t>
                            </w:r>
                          </w:p>
                        </w:txbxContent>
                      </v:textbox>
                      <w10:wrap anchorx="page" anchory="page"/>
                    </v:shape>
                  </w:pict>
                </mc:Fallback>
              </mc:AlternateContent>
            </w:r>
            <w:r w:rsidR="00DA1430" w:rsidRPr="00727EC8">
              <w:rPr>
                <w:rFonts w:asciiTheme="minorHAnsi" w:hAnsiTheme="minorHAnsi" w:cstheme="minorHAnsi"/>
                <w:noProof/>
                <w:sz w:val="22"/>
                <w:szCs w:val="22"/>
                <w:lang w:val="fr-CH" w:eastAsia="fr-CH"/>
              </w:rPr>
              <mc:AlternateContent>
                <mc:Choice Requires="wps">
                  <w:drawing>
                    <wp:anchor distT="0" distB="0" distL="114300" distR="114300" simplePos="0" relativeHeight="251663360" behindDoc="0" locked="0" layoutInCell="1" allowOverlap="1" wp14:anchorId="4CDAD691" wp14:editId="02665EE2">
                      <wp:simplePos x="0" y="0"/>
                      <wp:positionH relativeFrom="page">
                        <wp:posOffset>119033</wp:posOffset>
                      </wp:positionH>
                      <wp:positionV relativeFrom="page">
                        <wp:posOffset>263661</wp:posOffset>
                      </wp:positionV>
                      <wp:extent cx="2322464" cy="61708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2322464" cy="617080"/>
                              </a:xfrm>
                              <a:prstGeom prst="rect">
                                <a:avLst/>
                              </a:prstGeom>
                              <a:solidFill>
                                <a:schemeClr val="lt1"/>
                              </a:solidFill>
                              <a:ln w="6350">
                                <a:noFill/>
                              </a:ln>
                            </wps:spPr>
                            <wps:txbx>
                              <w:txbxContent>
                                <w:p w14:paraId="65AF3FA0" w14:textId="77777777" w:rsidR="00BC4C0F" w:rsidRDefault="00BC4C0F" w:rsidP="00FE7345">
                                  <w:pPr>
                                    <w:spacing w:after="0" w:line="240" w:lineRule="auto"/>
                                    <w:rPr>
                                      <w:rFonts w:ascii="Arial" w:hAnsi="Arial" w:cs="Arial"/>
                                      <w:sz w:val="14"/>
                                      <w:szCs w:val="14"/>
                                    </w:rPr>
                                  </w:pPr>
                                  <w:r>
                                    <w:rPr>
                                      <w:rFonts w:ascii="Arial" w:eastAsia="Arial" w:hAnsi="Arial" w:cs="Arial"/>
                                      <w:sz w:val="14"/>
                                      <w:szCs w:val="14"/>
                                      <w:lang w:val="fr-FR"/>
                                    </w:rPr>
                                    <w:t>Changer la langue pour mettre fin à la stigmatisation liée au VIH. J'espère que le message est passé</w:t>
                                  </w:r>
                                </w:p>
                                <w:p w14:paraId="0F28D3AA" w14:textId="77777777" w:rsidR="00BC4C0F" w:rsidRDefault="00BC4C0F" w:rsidP="00FE7345">
                                  <w:pPr>
                                    <w:spacing w:after="0" w:line="240" w:lineRule="auto"/>
                                    <w:rPr>
                                      <w:rFonts w:ascii="Arial" w:hAnsi="Arial" w:cs="Arial"/>
                                      <w:sz w:val="14"/>
                                      <w:szCs w:val="14"/>
                                    </w:rPr>
                                  </w:pPr>
                                </w:p>
                                <w:p w14:paraId="2C4CE1DF" w14:textId="77777777" w:rsidR="00BC4C0F" w:rsidRPr="006C56C2" w:rsidRDefault="00BC4C0F" w:rsidP="00FE7345">
                                  <w:pPr>
                                    <w:spacing w:after="0" w:line="240" w:lineRule="auto"/>
                                    <w:rPr>
                                      <w:rFonts w:ascii="Arial" w:hAnsi="Arial" w:cs="Arial"/>
                                      <w:color w:val="00B0F0"/>
                                      <w:sz w:val="14"/>
                                      <w:szCs w:val="14"/>
                                    </w:rPr>
                                  </w:pPr>
                                  <w:r>
                                    <w:rPr>
                                      <w:rFonts w:ascii="Arial" w:eastAsia="Arial" w:hAnsi="Arial" w:cs="Arial"/>
                                      <w:color w:val="00B0F0"/>
                                      <w:sz w:val="14"/>
                                      <w:szCs w:val="14"/>
                                      <w:lang w:val="fr-FR"/>
                                    </w:rPr>
                                    <w:t>#YPlusPageant19 #</w:t>
                                  </w:r>
                                  <w:r>
                                    <w:rPr>
                                      <w:rFonts w:ascii="Arial" w:eastAsia="Arial" w:hAnsi="Arial" w:cs="Arial"/>
                                      <w:color w:val="00B0F0"/>
                                      <w:sz w:val="14"/>
                                      <w:szCs w:val="14"/>
                                      <w:lang w:val="fr-FR"/>
                                    </w:rPr>
                                    <w:t>PeersMakingItHappen</w:t>
                                  </w:r>
                                </w:p>
                                <w:p w14:paraId="1C81FBEF" w14:textId="77777777" w:rsidR="00BC4C0F" w:rsidRPr="006C56C2" w:rsidRDefault="00BC4C0F" w:rsidP="00FE7345">
                                  <w:pPr>
                                    <w:spacing w:after="0" w:line="240" w:lineRule="auto"/>
                                    <w:rPr>
                                      <w:rFonts w:ascii="Arial" w:hAnsi="Arial" w:cs="Arial"/>
                                      <w:color w:val="00B0F0"/>
                                      <w:sz w:val="14"/>
                                      <w:szCs w:val="14"/>
                                    </w:rPr>
                                  </w:pPr>
                                  <w:r>
                                    <w:rPr>
                                      <w:rFonts w:ascii="Arial" w:eastAsia="Arial" w:hAnsi="Arial" w:cs="Arial"/>
                                      <w:color w:val="00B0F0"/>
                                      <w:sz w:val="14"/>
                                      <w:szCs w:val="14"/>
                                      <w:lang w:val="fr-FR"/>
                                    </w:rPr>
                                    <w:t>#NdiMusogaLivingWithHIV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DAD691" id="Text Box 1" o:spid="_x0000_s1031" type="#_x0000_t202" style="position:absolute;margin-left:9.35pt;margin-top:20.75pt;width:182.85pt;height:4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" fillcolor="white [3201]" stroked="f" strokeweight=".5pt">
                      <v:textbox inset="0,0,0,0">
                        <w:txbxContent>
                          <w:p w14:paraId="65AF3FA0" w14:textId="77777777" w:rsidR="00BC4C0F" w:rsidRDefault="00BC4C0F" w:rsidP="00FE7345">
                            <w:pPr>
                              <w:spacing w:after="0" w:line="240" w:lineRule="auto"/>
                              <w:rPr>
                                <w:rFonts w:ascii="Arial" w:hAnsi="Arial" w:cs="Arial"/>
                                <w:sz w:val="14"/>
                                <w:szCs w:val="14"/>
                              </w:rPr>
                            </w:pPr>
                            <w:r>
                              <w:rPr>
                                <w:rFonts w:ascii="Arial" w:eastAsia="Arial" w:hAnsi="Arial" w:cs="Arial"/>
                                <w:sz w:val="14"/>
                                <w:szCs w:val="14"/>
                                <w:lang w:val="fr-FR"/>
                              </w:rPr>
                              <w:t>Changer la langue pour mettre fin à la stigmatisation liée au VIH. J'espère que le message est passé</w:t>
                            </w:r>
                          </w:p>
                          <w:p w14:paraId="0F28D3AA" w14:textId="77777777" w:rsidR="00BC4C0F" w:rsidRDefault="00BC4C0F" w:rsidP="00FE7345">
                            <w:pPr>
                              <w:spacing w:after="0" w:line="240" w:lineRule="auto"/>
                              <w:rPr>
                                <w:rFonts w:ascii="Arial" w:hAnsi="Arial" w:cs="Arial"/>
                                <w:sz w:val="14"/>
                                <w:szCs w:val="14"/>
                              </w:rPr>
                            </w:pPr>
                          </w:p>
                          <w:p w14:paraId="2C4CE1DF" w14:textId="77777777" w:rsidR="00BC4C0F" w:rsidRPr="006C56C2" w:rsidRDefault="00BC4C0F" w:rsidP="00FE7345">
                            <w:pPr>
                              <w:spacing w:after="0" w:line="240" w:lineRule="auto"/>
                              <w:rPr>
                                <w:rFonts w:ascii="Arial" w:hAnsi="Arial" w:cs="Arial"/>
                                <w:color w:val="00B0F0"/>
                                <w:sz w:val="14"/>
                                <w:szCs w:val="14"/>
                              </w:rPr>
                            </w:pPr>
                            <w:r>
                              <w:rPr>
                                <w:rFonts w:ascii="Arial" w:eastAsia="Arial" w:hAnsi="Arial" w:cs="Arial"/>
                                <w:color w:val="00B0F0"/>
                                <w:sz w:val="14"/>
                                <w:szCs w:val="14"/>
                                <w:lang w:val="fr-FR"/>
                              </w:rPr>
                              <w:t>#YPlusPageant19 #</w:t>
                            </w:r>
                            <w:proofErr w:type="spellStart"/>
                            <w:r>
                              <w:rPr>
                                <w:rFonts w:ascii="Arial" w:eastAsia="Arial" w:hAnsi="Arial" w:cs="Arial"/>
                                <w:color w:val="00B0F0"/>
                                <w:sz w:val="14"/>
                                <w:szCs w:val="14"/>
                                <w:lang w:val="fr-FR"/>
                              </w:rPr>
                              <w:t>PeersMakingItHappen</w:t>
                            </w:r>
                            <w:proofErr w:type="spellEnd"/>
                          </w:p>
                          <w:p w14:paraId="1C81FBEF" w14:textId="77777777" w:rsidR="00BC4C0F" w:rsidRPr="006C56C2" w:rsidRDefault="00BC4C0F" w:rsidP="00FE7345">
                            <w:pPr>
                              <w:spacing w:after="0" w:line="240" w:lineRule="auto"/>
                              <w:rPr>
                                <w:rFonts w:ascii="Arial" w:hAnsi="Arial" w:cs="Arial"/>
                                <w:color w:val="00B0F0"/>
                                <w:sz w:val="14"/>
                                <w:szCs w:val="14"/>
                              </w:rPr>
                            </w:pPr>
                            <w:r>
                              <w:rPr>
                                <w:rFonts w:ascii="Arial" w:eastAsia="Arial" w:hAnsi="Arial" w:cs="Arial"/>
                                <w:color w:val="00B0F0"/>
                                <w:sz w:val="14"/>
                                <w:szCs w:val="14"/>
                                <w:lang w:val="fr-FR"/>
                              </w:rPr>
                              <w:t>#</w:t>
                            </w:r>
                            <w:proofErr w:type="spellStart"/>
                            <w:r>
                              <w:rPr>
                                <w:rFonts w:ascii="Arial" w:eastAsia="Arial" w:hAnsi="Arial" w:cs="Arial"/>
                                <w:color w:val="00B0F0"/>
                                <w:sz w:val="14"/>
                                <w:szCs w:val="14"/>
                                <w:lang w:val="fr-FR"/>
                              </w:rPr>
                              <w:t>NdiMusogaLivingWithHIV</w:t>
                            </w:r>
                            <w:proofErr w:type="spellEnd"/>
                          </w:p>
                        </w:txbxContent>
                      </v:textbox>
                      <w10:wrap anchorx="page" anchory="page"/>
                    </v:shape>
                  </w:pict>
                </mc:Fallback>
              </mc:AlternateContent>
            </w:r>
            <w:r w:rsidR="00341E39" w:rsidRPr="00727EC8">
              <w:rPr>
                <w:rFonts w:asciiTheme="minorHAnsi" w:hAnsiTheme="minorHAnsi" w:cstheme="minorHAnsi"/>
                <w:noProof/>
                <w:sz w:val="22"/>
                <w:szCs w:val="22"/>
                <w:lang w:val="fr-CH" w:eastAsia="fr-CH"/>
              </w:rPr>
              <w:drawing>
                <wp:inline distT="0" distB="0" distL="0" distR="0" wp14:anchorId="2C52AE4A" wp14:editId="7AF50A79">
                  <wp:extent cx="2409825" cy="291234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049707"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20881" cy="2925707"/>
                          </a:xfrm>
                          <a:prstGeom prst="rect">
                            <a:avLst/>
                          </a:prstGeom>
                          <a:noFill/>
                          <a:ln>
                            <a:noFill/>
                          </a:ln>
                        </pic:spPr>
                      </pic:pic>
                    </a:graphicData>
                  </a:graphic>
                </wp:inline>
              </w:drawing>
            </w:r>
          </w:p>
          <w:p w14:paraId="6B023C23" w14:textId="77777777" w:rsidR="00341E39" w:rsidRPr="00D15745" w:rsidRDefault="007350F8" w:rsidP="00417223">
            <w:pPr>
              <w:pStyle w:val="Default"/>
              <w:spacing w:line="276" w:lineRule="auto"/>
              <w:rPr>
                <w:rFonts w:asciiTheme="minorHAnsi" w:hAnsiTheme="minorHAnsi" w:cstheme="minorHAnsi"/>
                <w:b/>
                <w:color w:val="2E74B5"/>
                <w:sz w:val="18"/>
                <w:szCs w:val="18"/>
                <w:lang w:val="fr-FR"/>
              </w:rPr>
            </w:pPr>
            <w:proofErr w:type="spellStart"/>
            <w:r>
              <w:rPr>
                <w:rFonts w:ascii="Calibri" w:eastAsia="Calibri" w:hAnsi="Calibri" w:cs="Calibri"/>
                <w:i/>
                <w:iCs/>
                <w:color w:val="2E74B5"/>
                <w:sz w:val="18"/>
                <w:szCs w:val="18"/>
                <w:lang w:val="fr-FR"/>
              </w:rPr>
              <w:t>Dric</w:t>
            </w:r>
            <w:proofErr w:type="spellEnd"/>
            <w:r>
              <w:rPr>
                <w:rFonts w:ascii="Calibri" w:eastAsia="Calibri" w:hAnsi="Calibri" w:cs="Calibri"/>
                <w:i/>
                <w:iCs/>
                <w:color w:val="2E74B5"/>
                <w:sz w:val="18"/>
                <w:szCs w:val="18"/>
                <w:lang w:val="fr-FR"/>
              </w:rPr>
              <w:t xml:space="preserve"> </w:t>
            </w:r>
            <w:proofErr w:type="spellStart"/>
            <w:r>
              <w:rPr>
                <w:rFonts w:ascii="Calibri" w:eastAsia="Calibri" w:hAnsi="Calibri" w:cs="Calibri"/>
                <w:i/>
                <w:iCs/>
                <w:color w:val="2E74B5"/>
                <w:sz w:val="18"/>
                <w:szCs w:val="18"/>
                <w:lang w:val="fr-FR"/>
              </w:rPr>
              <w:t>Adoni</w:t>
            </w:r>
            <w:proofErr w:type="spellEnd"/>
            <w:r>
              <w:rPr>
                <w:rFonts w:ascii="Calibri" w:eastAsia="Calibri" w:hAnsi="Calibri" w:cs="Calibri"/>
                <w:i/>
                <w:iCs/>
                <w:color w:val="2E74B5"/>
                <w:sz w:val="18"/>
                <w:szCs w:val="18"/>
                <w:lang w:val="fr-FR"/>
              </w:rPr>
              <w:t xml:space="preserve">, un avocat ougandais, </w:t>
            </w:r>
            <w:proofErr w:type="spellStart"/>
            <w:r>
              <w:rPr>
                <w:rFonts w:ascii="Calibri" w:eastAsia="Calibri" w:hAnsi="Calibri" w:cs="Calibri"/>
                <w:i/>
                <w:iCs/>
                <w:color w:val="2E74B5"/>
                <w:sz w:val="18"/>
                <w:szCs w:val="18"/>
                <w:lang w:val="fr-FR"/>
              </w:rPr>
              <w:t>tweete</w:t>
            </w:r>
            <w:proofErr w:type="spellEnd"/>
            <w:r>
              <w:rPr>
                <w:rFonts w:ascii="Calibri" w:eastAsia="Calibri" w:hAnsi="Calibri" w:cs="Calibri"/>
                <w:i/>
                <w:iCs/>
                <w:color w:val="2E74B5"/>
                <w:sz w:val="18"/>
                <w:szCs w:val="18"/>
                <w:lang w:val="fr-FR"/>
              </w:rPr>
              <w:t xml:space="preserve"> sur la terminologie stigmatisante utilisée autour du VIH depuis un événement populaire de sensibilisation des jeunes au VIH, le Y Plus Beauty </w:t>
            </w:r>
            <w:proofErr w:type="spellStart"/>
            <w:r>
              <w:rPr>
                <w:rFonts w:ascii="Calibri" w:eastAsia="Calibri" w:hAnsi="Calibri" w:cs="Calibri"/>
                <w:i/>
                <w:iCs/>
                <w:color w:val="2E74B5"/>
                <w:sz w:val="18"/>
                <w:szCs w:val="18"/>
                <w:lang w:val="fr-FR"/>
              </w:rPr>
              <w:t>Pageant</w:t>
            </w:r>
            <w:proofErr w:type="spellEnd"/>
            <w:r>
              <w:rPr>
                <w:rFonts w:ascii="Calibri" w:eastAsia="Calibri" w:hAnsi="Calibri" w:cs="Calibri"/>
                <w:i/>
                <w:iCs/>
                <w:color w:val="2E74B5"/>
                <w:sz w:val="18"/>
                <w:szCs w:val="18"/>
                <w:lang w:val="fr-FR"/>
              </w:rPr>
              <w:t>.</w:t>
            </w:r>
          </w:p>
        </w:tc>
        <w:tc>
          <w:tcPr>
            <w:tcW w:w="6390" w:type="dxa"/>
          </w:tcPr>
          <w:p w14:paraId="4FC9EC0C" w14:textId="77777777" w:rsidR="00341E39" w:rsidRPr="00D15745" w:rsidRDefault="007350F8" w:rsidP="00417223">
            <w:pPr>
              <w:pStyle w:val="Default"/>
              <w:spacing w:line="276" w:lineRule="auto"/>
              <w:rPr>
                <w:rFonts w:asciiTheme="minorHAnsi" w:hAnsiTheme="minorHAnsi" w:cstheme="minorHAnsi"/>
                <w:sz w:val="22"/>
                <w:szCs w:val="22"/>
                <w:lang w:val="fr-FR"/>
              </w:rPr>
            </w:pPr>
            <w:r>
              <w:rPr>
                <w:rFonts w:ascii="Calibri" w:eastAsia="Calibri" w:hAnsi="Calibri" w:cs="Calibri"/>
                <w:sz w:val="22"/>
                <w:szCs w:val="22"/>
                <w:lang w:val="fr-FR"/>
              </w:rPr>
              <w:t>Ce guide suggère les termes à employer pour communiquer sur le VIH et des sujets connexes. Vous trouverez ci-dessous quelques exemples de l’incidence des termes employés.</w:t>
            </w:r>
          </w:p>
          <w:p w14:paraId="10716067" w14:textId="77777777" w:rsidR="00341E39" w:rsidRPr="00727EC8" w:rsidRDefault="007350F8" w:rsidP="00417223">
            <w:pPr>
              <w:pStyle w:val="Default"/>
              <w:spacing w:line="276" w:lineRule="auto"/>
              <w:rPr>
                <w:rFonts w:asciiTheme="minorHAnsi" w:hAnsiTheme="minorHAnsi" w:cstheme="minorHAnsi"/>
                <w:sz w:val="22"/>
                <w:szCs w:val="22"/>
              </w:rPr>
            </w:pPr>
            <w:r w:rsidRPr="00727EC8">
              <w:rPr>
                <w:rFonts w:asciiTheme="minorHAnsi" w:hAnsiTheme="minorHAnsi" w:cstheme="minorHAnsi"/>
                <w:noProof/>
                <w:sz w:val="22"/>
                <w:szCs w:val="22"/>
                <w:lang w:val="fr-CH" w:eastAsia="fr-CH"/>
              </w:rPr>
              <mc:AlternateContent>
                <mc:Choice Requires="wps">
                  <w:drawing>
                    <wp:anchor distT="0" distB="0" distL="114300" distR="114300" simplePos="0" relativeHeight="251673600" behindDoc="0" locked="0" layoutInCell="1" allowOverlap="1" wp14:anchorId="259FC0A4" wp14:editId="7CAE10A4">
                      <wp:simplePos x="0" y="0"/>
                      <wp:positionH relativeFrom="page">
                        <wp:posOffset>463336</wp:posOffset>
                      </wp:positionH>
                      <wp:positionV relativeFrom="page">
                        <wp:posOffset>661958</wp:posOffset>
                      </wp:positionV>
                      <wp:extent cx="3186375" cy="412213"/>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3186375" cy="412213"/>
                              </a:xfrm>
                              <a:prstGeom prst="rect">
                                <a:avLst/>
                              </a:prstGeom>
                              <a:solidFill>
                                <a:schemeClr val="lt1"/>
                              </a:solidFill>
                              <a:ln w="6350">
                                <a:noFill/>
                              </a:ln>
                            </wps:spPr>
                            <wps:txbx>
                              <w:txbxContent>
                                <w:p w14:paraId="4F3145AD" w14:textId="77777777" w:rsidR="00BC4C0F" w:rsidRPr="00D15745" w:rsidRDefault="00BC4C0F" w:rsidP="006C56C2">
                                  <w:pPr>
                                    <w:spacing w:after="0" w:line="240" w:lineRule="auto"/>
                                    <w:rPr>
                                      <w:rFonts w:ascii="Arial" w:hAnsi="Arial" w:cs="Arial"/>
                                      <w:sz w:val="14"/>
                                      <w:szCs w:val="14"/>
                                      <w:lang w:val="fr-FR"/>
                                    </w:rPr>
                                  </w:pPr>
                                  <w:r>
                                    <w:rPr>
                                      <w:rFonts w:ascii="Arial" w:eastAsia="Arial" w:hAnsi="Arial" w:cs="Arial"/>
                                      <w:b/>
                                      <w:bCs/>
                                      <w:sz w:val="14"/>
                                      <w:szCs w:val="14"/>
                                      <w:lang w:val="fr-FR"/>
                                    </w:rPr>
                                    <w:t>Silvia</w:t>
                                  </w:r>
                                  <w:r>
                                    <w:rPr>
                                      <w:rFonts w:ascii="Arial" w:eastAsia="Arial" w:hAnsi="Arial" w:cs="Arial"/>
                                      <w:sz w:val="14"/>
                                      <w:szCs w:val="14"/>
                                      <w:lang w:val="fr-FR"/>
                                    </w:rPr>
                                    <w:t xml:space="preserve"> </w:t>
                                  </w:r>
                                  <w:r>
                                    <w:rPr>
                                      <w:rFonts w:ascii="Arial" w:eastAsia="Arial" w:hAnsi="Arial" w:cs="Arial"/>
                                      <w:color w:val="808080"/>
                                      <w:sz w:val="14"/>
                                      <w:szCs w:val="14"/>
                                      <w:lang w:val="fr-FR"/>
                                    </w:rPr>
                                    <w:t>@</w:t>
                                  </w:r>
                                  <w:r>
                                    <w:rPr>
                                      <w:rFonts w:ascii="Arial" w:eastAsia="Arial" w:hAnsi="Arial" w:cs="Arial"/>
                                      <w:color w:val="808080"/>
                                      <w:sz w:val="14"/>
                                      <w:szCs w:val="14"/>
                                      <w:lang w:val="fr-FR"/>
                                    </w:rPr>
                                    <w:t>HIV_SpeakingUp · 22 juin 2017</w:t>
                                  </w:r>
                                </w:p>
                                <w:p w14:paraId="304AD4D7" w14:textId="77777777" w:rsidR="00BC4C0F" w:rsidRPr="00D15745" w:rsidRDefault="00BC4C0F" w:rsidP="006C56C2">
                                  <w:pPr>
                                    <w:spacing w:after="0" w:line="240" w:lineRule="auto"/>
                                    <w:rPr>
                                      <w:rFonts w:ascii="Arial" w:hAnsi="Arial" w:cs="Arial"/>
                                      <w:sz w:val="14"/>
                                      <w:szCs w:val="14"/>
                                      <w:lang w:val="fr-FR"/>
                                    </w:rPr>
                                  </w:pPr>
                                  <w:r>
                                    <w:rPr>
                                      <w:rFonts w:ascii="Arial" w:eastAsia="Arial" w:hAnsi="Arial" w:cs="Arial"/>
                                      <w:sz w:val="14"/>
                                      <w:szCs w:val="14"/>
                                      <w:lang w:val="fr-FR"/>
                                    </w:rPr>
                                    <w:t xml:space="preserve">Il n'existe pas de « personnes difficiles à convaincre », seulement des services mal conçus, la </w:t>
                                  </w:r>
                                  <w:r>
                                    <w:rPr>
                                      <w:rFonts w:ascii="Arial" w:eastAsia="Arial" w:hAnsi="Arial" w:cs="Arial"/>
                                      <w:b/>
                                      <w:bCs/>
                                      <w:color w:val="00B0F0"/>
                                      <w:sz w:val="14"/>
                                      <w:szCs w:val="14"/>
                                      <w:lang w:val="fr-FR"/>
                                    </w:rPr>
                                    <w:t>#langue</w:t>
                                  </w:r>
                                  <w:r>
                                    <w:rPr>
                                      <w:rFonts w:ascii="Arial" w:eastAsia="Arial" w:hAnsi="Arial" w:cs="Arial"/>
                                      <w:sz w:val="14"/>
                                      <w:szCs w:val="14"/>
                                      <w:lang w:val="fr-FR"/>
                                    </w:rPr>
                                    <w:t xml:space="preserve"> contribue à la </w:t>
                                  </w:r>
                                  <w:r>
                                    <w:rPr>
                                      <w:rFonts w:ascii="Arial" w:eastAsia="Arial" w:hAnsi="Arial" w:cs="Arial"/>
                                      <w:b/>
                                      <w:bCs/>
                                      <w:color w:val="00B0F0"/>
                                      <w:sz w:val="14"/>
                                      <w:szCs w:val="14"/>
                                      <w:lang w:val="fr-FR"/>
                                    </w:rPr>
                                    <w:t>#stigmatisation</w:t>
                                  </w:r>
                                  <w:r>
                                    <w:rPr>
                                      <w:rFonts w:ascii="Arial" w:eastAsia="Arial" w:hAnsi="Arial" w:cs="Arial"/>
                                      <w:color w:val="00B0F0"/>
                                      <w:sz w:val="14"/>
                                      <w:szCs w:val="14"/>
                                      <w:lang w:val="fr-FR"/>
                                    </w:rPr>
                                    <w:t xml:space="preserve"> #NHIVNA </w:t>
                                  </w:r>
                                  <w:r>
                                    <w:rPr>
                                      <w:rFonts w:ascii="Arial" w:eastAsia="Arial" w:hAnsi="Arial" w:cs="Arial"/>
                                      <w:b/>
                                      <w:bCs/>
                                      <w:color w:val="00B0F0"/>
                                      <w:sz w:val="14"/>
                                      <w:szCs w:val="14"/>
                                      <w:lang w:val="fr-FR"/>
                                    </w:rPr>
                                    <w:t>#HIV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9FC0A4" id="Text Box 11" o:spid="_x0000_s1032" type="#_x0000_t202" style="position:absolute;margin-left:36.5pt;margin-top:52.1pt;width:250.9pt;height:32.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" fillcolor="white [3201]" stroked="f" strokeweight=".5pt">
                      <v:textbox inset="0,0,0,0">
                        <w:txbxContent>
                          <w:p w14:paraId="4F3145AD" w14:textId="77777777" w:rsidR="00BC4C0F" w:rsidRPr="00D15745" w:rsidRDefault="00BC4C0F" w:rsidP="006C56C2">
                            <w:pPr>
                              <w:spacing w:after="0" w:line="240" w:lineRule="auto"/>
                              <w:rPr>
                                <w:rFonts w:ascii="Arial" w:hAnsi="Arial" w:cs="Arial"/>
                                <w:sz w:val="14"/>
                                <w:szCs w:val="14"/>
                                <w:lang w:val="fr-FR"/>
                              </w:rPr>
                            </w:pPr>
                            <w:r>
                              <w:rPr>
                                <w:rFonts w:ascii="Arial" w:eastAsia="Arial" w:hAnsi="Arial" w:cs="Arial"/>
                                <w:b/>
                                <w:bCs/>
                                <w:sz w:val="14"/>
                                <w:szCs w:val="14"/>
                                <w:lang w:val="fr-FR"/>
                              </w:rPr>
                              <w:t>Silvia</w:t>
                            </w:r>
                            <w:r>
                              <w:rPr>
                                <w:rFonts w:ascii="Arial" w:eastAsia="Arial" w:hAnsi="Arial" w:cs="Arial"/>
                                <w:sz w:val="14"/>
                                <w:szCs w:val="14"/>
                                <w:lang w:val="fr-FR"/>
                              </w:rPr>
                              <w:t xml:space="preserve"> </w:t>
                            </w:r>
                            <w:r>
                              <w:rPr>
                                <w:rFonts w:ascii="Arial" w:eastAsia="Arial" w:hAnsi="Arial" w:cs="Arial"/>
                                <w:color w:val="808080"/>
                                <w:sz w:val="14"/>
                                <w:szCs w:val="14"/>
                                <w:lang w:val="fr-FR"/>
                              </w:rPr>
                              <w:t>@</w:t>
                            </w:r>
                            <w:proofErr w:type="spellStart"/>
                            <w:r>
                              <w:rPr>
                                <w:rFonts w:ascii="Arial" w:eastAsia="Arial" w:hAnsi="Arial" w:cs="Arial"/>
                                <w:color w:val="808080"/>
                                <w:sz w:val="14"/>
                                <w:szCs w:val="14"/>
                                <w:lang w:val="fr-FR"/>
                              </w:rPr>
                              <w:t>HIV_SpeakingUp</w:t>
                            </w:r>
                            <w:proofErr w:type="spellEnd"/>
                            <w:r>
                              <w:rPr>
                                <w:rFonts w:ascii="Arial" w:eastAsia="Arial" w:hAnsi="Arial" w:cs="Arial"/>
                                <w:color w:val="808080"/>
                                <w:sz w:val="14"/>
                                <w:szCs w:val="14"/>
                                <w:lang w:val="fr-FR"/>
                              </w:rPr>
                              <w:t xml:space="preserve"> · 22 juin 2017</w:t>
                            </w:r>
                          </w:p>
                          <w:p w14:paraId="304AD4D7" w14:textId="77777777" w:rsidR="00BC4C0F" w:rsidRPr="00D15745" w:rsidRDefault="00BC4C0F" w:rsidP="006C56C2">
                            <w:pPr>
                              <w:spacing w:after="0" w:line="240" w:lineRule="auto"/>
                              <w:rPr>
                                <w:rFonts w:ascii="Arial" w:hAnsi="Arial" w:cs="Arial"/>
                                <w:sz w:val="14"/>
                                <w:szCs w:val="14"/>
                                <w:lang w:val="fr-FR"/>
                              </w:rPr>
                            </w:pPr>
                            <w:r>
                              <w:rPr>
                                <w:rFonts w:ascii="Arial" w:eastAsia="Arial" w:hAnsi="Arial" w:cs="Arial"/>
                                <w:sz w:val="14"/>
                                <w:szCs w:val="14"/>
                                <w:lang w:val="fr-FR"/>
                              </w:rPr>
                              <w:t xml:space="preserve">Il n'existe pas de « personnes difficiles à convaincre », seulement des services mal conçus, la </w:t>
                            </w:r>
                            <w:r>
                              <w:rPr>
                                <w:rFonts w:ascii="Arial" w:eastAsia="Arial" w:hAnsi="Arial" w:cs="Arial"/>
                                <w:b/>
                                <w:bCs/>
                                <w:color w:val="00B0F0"/>
                                <w:sz w:val="14"/>
                                <w:szCs w:val="14"/>
                                <w:lang w:val="fr-FR"/>
                              </w:rPr>
                              <w:t>#langue</w:t>
                            </w:r>
                            <w:r>
                              <w:rPr>
                                <w:rFonts w:ascii="Arial" w:eastAsia="Arial" w:hAnsi="Arial" w:cs="Arial"/>
                                <w:sz w:val="14"/>
                                <w:szCs w:val="14"/>
                                <w:lang w:val="fr-FR"/>
                              </w:rPr>
                              <w:t xml:space="preserve"> contribue à la </w:t>
                            </w:r>
                            <w:r>
                              <w:rPr>
                                <w:rFonts w:ascii="Arial" w:eastAsia="Arial" w:hAnsi="Arial" w:cs="Arial"/>
                                <w:b/>
                                <w:bCs/>
                                <w:color w:val="00B0F0"/>
                                <w:sz w:val="14"/>
                                <w:szCs w:val="14"/>
                                <w:lang w:val="fr-FR"/>
                              </w:rPr>
                              <w:t>#stigmatisation</w:t>
                            </w:r>
                            <w:r>
                              <w:rPr>
                                <w:rFonts w:ascii="Arial" w:eastAsia="Arial" w:hAnsi="Arial" w:cs="Arial"/>
                                <w:color w:val="00B0F0"/>
                                <w:sz w:val="14"/>
                                <w:szCs w:val="14"/>
                                <w:lang w:val="fr-FR"/>
                              </w:rPr>
                              <w:t xml:space="preserve"> #NHIVNA </w:t>
                            </w:r>
                            <w:r>
                              <w:rPr>
                                <w:rFonts w:ascii="Arial" w:eastAsia="Arial" w:hAnsi="Arial" w:cs="Arial"/>
                                <w:b/>
                                <w:bCs/>
                                <w:color w:val="00B0F0"/>
                                <w:sz w:val="14"/>
                                <w:szCs w:val="14"/>
                                <w:lang w:val="fr-FR"/>
                              </w:rPr>
                              <w:t>#HIV</w:t>
                            </w:r>
                          </w:p>
                        </w:txbxContent>
                      </v:textbox>
                      <w10:wrap anchorx="page" anchory="page"/>
                    </v:shape>
                  </w:pict>
                </mc:Fallback>
              </mc:AlternateContent>
            </w:r>
            <w:r w:rsidR="00341E39" w:rsidRPr="00727EC8">
              <w:rPr>
                <w:rFonts w:asciiTheme="minorHAnsi" w:hAnsiTheme="minorHAnsi" w:cstheme="minorHAnsi"/>
                <w:noProof/>
                <w:sz w:val="22"/>
                <w:szCs w:val="22"/>
                <w:lang w:val="fr-CH" w:eastAsia="fr-CH"/>
              </w:rPr>
              <w:drawing>
                <wp:inline distT="0" distB="0" distL="0" distR="0" wp14:anchorId="3CC16534" wp14:editId="62545F05">
                  <wp:extent cx="3415742" cy="485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208333"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14666" cy="499190"/>
                          </a:xfrm>
                          <a:prstGeom prst="rect">
                            <a:avLst/>
                          </a:prstGeom>
                          <a:noFill/>
                          <a:ln>
                            <a:noFill/>
                          </a:ln>
                        </pic:spPr>
                      </pic:pic>
                    </a:graphicData>
                  </a:graphic>
                </wp:inline>
              </w:drawing>
            </w:r>
          </w:p>
          <w:p w14:paraId="688C134D" w14:textId="77777777" w:rsidR="00341E39" w:rsidRPr="00D15745" w:rsidRDefault="008A4EC5" w:rsidP="00417223">
            <w:pPr>
              <w:pStyle w:val="Default"/>
              <w:spacing w:line="276" w:lineRule="auto"/>
              <w:rPr>
                <w:rFonts w:asciiTheme="minorHAnsi" w:hAnsiTheme="minorHAnsi" w:cstheme="minorHAnsi"/>
                <w:color w:val="2E74B5"/>
                <w:sz w:val="18"/>
                <w:szCs w:val="18"/>
                <w:lang w:val="fr-FR"/>
              </w:rPr>
            </w:pPr>
            <w:r w:rsidRPr="00727EC8">
              <w:rPr>
                <w:rFonts w:asciiTheme="minorHAnsi" w:hAnsiTheme="minorHAnsi" w:cstheme="minorHAnsi"/>
                <w:noProof/>
                <w:sz w:val="22"/>
                <w:szCs w:val="22"/>
                <w:lang w:val="fr-CH" w:eastAsia="fr-CH"/>
              </w:rPr>
              <mc:AlternateContent>
                <mc:Choice Requires="wps">
                  <w:drawing>
                    <wp:anchor distT="0" distB="0" distL="114300" distR="114300" simplePos="0" relativeHeight="251675648" behindDoc="0" locked="0" layoutInCell="1" allowOverlap="1" wp14:anchorId="40F343F0" wp14:editId="4F82124C">
                      <wp:simplePos x="0" y="0"/>
                      <wp:positionH relativeFrom="page">
                        <wp:posOffset>502285</wp:posOffset>
                      </wp:positionH>
                      <wp:positionV relativeFrom="page">
                        <wp:posOffset>1884680</wp:posOffset>
                      </wp:positionV>
                      <wp:extent cx="3107838" cy="12341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07838" cy="123416"/>
                              </a:xfrm>
                              <a:prstGeom prst="rect">
                                <a:avLst/>
                              </a:prstGeom>
                              <a:solidFill>
                                <a:srgbClr val="F3F7FB"/>
                              </a:solidFill>
                              <a:ln w="6350">
                                <a:noFill/>
                              </a:ln>
                            </wps:spPr>
                            <wps:txbx>
                              <w:txbxContent>
                                <w:p w14:paraId="52EDE3E9" w14:textId="77777777" w:rsidR="00BC4C0F" w:rsidRDefault="00BC4C0F" w:rsidP="00385ACA">
                                  <w:pPr>
                                    <w:spacing w:after="0" w:line="240" w:lineRule="auto"/>
                                    <w:rPr>
                                      <w:rFonts w:ascii="Arial" w:hAnsi="Arial" w:cs="Arial"/>
                                      <w:sz w:val="14"/>
                                      <w:szCs w:val="14"/>
                                    </w:rPr>
                                  </w:pPr>
                                  <w:r>
                                    <w:rPr>
                                      <w:rFonts w:ascii="Arial" w:eastAsia="Arial" w:hAnsi="Arial" w:cs="Arial"/>
                                      <w:b/>
                                      <w:bCs/>
                                      <w:sz w:val="14"/>
                                      <w:szCs w:val="14"/>
                                      <w:lang w:val="fr-FR"/>
                                    </w:rPr>
                                    <w:t>M</w:t>
                                  </w:r>
                                  <w:r>
                                    <w:rPr>
                                      <w:rFonts w:ascii="Arial" w:eastAsia="Arial" w:hAnsi="Arial" w:cs="Arial"/>
                                      <w:b/>
                                      <w:bCs/>
                                      <w:sz w:val="14"/>
                                      <w:szCs w:val="14"/>
                                      <w:u w:val="single"/>
                                      <w:lang w:val="fr-FR"/>
                                    </w:rPr>
                                    <w:t>orenike Giwa Onaiwu</w:t>
                                  </w:r>
                                  <w:r>
                                    <w:rPr>
                                      <w:rFonts w:ascii="Arial" w:eastAsia="Arial" w:hAnsi="Arial" w:cs="Arial"/>
                                      <w:sz w:val="14"/>
                                      <w:szCs w:val="14"/>
                                      <w:lang w:val="fr-FR"/>
                                    </w:rPr>
                                    <w:t xml:space="preserve"> </w:t>
                                  </w:r>
                                  <w:r>
                                    <w:rPr>
                                      <w:rFonts w:ascii="Arial" w:eastAsia="Arial" w:hAnsi="Arial" w:cs="Arial"/>
                                      <w:color w:val="808080"/>
                                      <w:sz w:val="14"/>
                                      <w:szCs w:val="14"/>
                                      <w:lang w:val="fr-FR"/>
                                    </w:rPr>
                                    <w:t>@MorenikeGO · 23 juin 2018</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F343F0" id="Text Box 12" o:spid="_x0000_s1033" type="#_x0000_t202" style="position:absolute;margin-left:39.55pt;margin-top:148.4pt;width:244.7pt;height:9.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" fillcolor="#f3f7fb" stroked="f" strokeweight=".5pt">
                      <v:textbox inset="0,0,0,0">
                        <w:txbxContent>
                          <w:p w14:paraId="52EDE3E9" w14:textId="77777777" w:rsidR="00BC4C0F" w:rsidRDefault="00BC4C0F" w:rsidP="00385ACA">
                            <w:pPr>
                              <w:spacing w:after="0" w:line="240" w:lineRule="auto"/>
                              <w:rPr>
                                <w:rFonts w:ascii="Arial" w:hAnsi="Arial" w:cs="Arial"/>
                                <w:sz w:val="14"/>
                                <w:szCs w:val="14"/>
                              </w:rPr>
                            </w:pPr>
                            <w:proofErr w:type="spellStart"/>
                            <w:r>
                              <w:rPr>
                                <w:rFonts w:ascii="Arial" w:eastAsia="Arial" w:hAnsi="Arial" w:cs="Arial"/>
                                <w:b/>
                                <w:bCs/>
                                <w:sz w:val="14"/>
                                <w:szCs w:val="14"/>
                                <w:lang w:val="fr-FR"/>
                              </w:rPr>
                              <w:t>M</w:t>
                            </w:r>
                            <w:r>
                              <w:rPr>
                                <w:rFonts w:ascii="Arial" w:eastAsia="Arial" w:hAnsi="Arial" w:cs="Arial"/>
                                <w:b/>
                                <w:bCs/>
                                <w:sz w:val="14"/>
                                <w:szCs w:val="14"/>
                                <w:u w:val="single"/>
                                <w:lang w:val="fr-FR"/>
                              </w:rPr>
                              <w:t>orenike</w:t>
                            </w:r>
                            <w:proofErr w:type="spellEnd"/>
                            <w:r>
                              <w:rPr>
                                <w:rFonts w:ascii="Arial" w:eastAsia="Arial" w:hAnsi="Arial" w:cs="Arial"/>
                                <w:b/>
                                <w:bCs/>
                                <w:sz w:val="14"/>
                                <w:szCs w:val="14"/>
                                <w:u w:val="single"/>
                                <w:lang w:val="fr-FR"/>
                              </w:rPr>
                              <w:t xml:space="preserve"> Giwa Onaiwu</w:t>
                            </w:r>
                            <w:r>
                              <w:rPr>
                                <w:rFonts w:ascii="Arial" w:eastAsia="Arial" w:hAnsi="Arial" w:cs="Arial"/>
                                <w:sz w:val="14"/>
                                <w:szCs w:val="14"/>
                                <w:lang w:val="fr-FR"/>
                              </w:rPr>
                              <w:t xml:space="preserve"> </w:t>
                            </w:r>
                            <w:r>
                              <w:rPr>
                                <w:rFonts w:ascii="Arial" w:eastAsia="Arial" w:hAnsi="Arial" w:cs="Arial"/>
                                <w:color w:val="808080"/>
                                <w:sz w:val="14"/>
                                <w:szCs w:val="14"/>
                                <w:lang w:val="fr-FR"/>
                              </w:rPr>
                              <w:t>@</w:t>
                            </w:r>
                            <w:proofErr w:type="spellStart"/>
                            <w:r>
                              <w:rPr>
                                <w:rFonts w:ascii="Arial" w:eastAsia="Arial" w:hAnsi="Arial" w:cs="Arial"/>
                                <w:color w:val="808080"/>
                                <w:sz w:val="14"/>
                                <w:szCs w:val="14"/>
                                <w:lang w:val="fr-FR"/>
                              </w:rPr>
                              <w:t>MorenikeGO</w:t>
                            </w:r>
                            <w:proofErr w:type="spellEnd"/>
                            <w:r>
                              <w:rPr>
                                <w:rFonts w:ascii="Arial" w:eastAsia="Arial" w:hAnsi="Arial" w:cs="Arial"/>
                                <w:color w:val="808080"/>
                                <w:sz w:val="14"/>
                                <w:szCs w:val="14"/>
                                <w:lang w:val="fr-FR"/>
                              </w:rPr>
                              <w:t xml:space="preserve"> · 23 juin 2018</w:t>
                            </w:r>
                          </w:p>
                        </w:txbxContent>
                      </v:textbox>
                      <w10:wrap anchorx="page" anchory="page"/>
                    </v:shape>
                  </w:pict>
                </mc:Fallback>
              </mc:AlternateContent>
            </w:r>
            <w:r w:rsidR="007350F8">
              <w:rPr>
                <w:rFonts w:ascii="Calibri" w:eastAsia="Calibri" w:hAnsi="Calibri" w:cs="Calibri"/>
                <w:i/>
                <w:iCs/>
                <w:color w:val="2E74B5"/>
                <w:sz w:val="18"/>
                <w:szCs w:val="18"/>
                <w:lang w:val="fr-FR"/>
              </w:rPr>
              <w:t xml:space="preserve">Tweet de Silvia </w:t>
            </w:r>
            <w:proofErr w:type="spellStart"/>
            <w:r w:rsidR="007350F8">
              <w:rPr>
                <w:rFonts w:ascii="Calibri" w:eastAsia="Calibri" w:hAnsi="Calibri" w:cs="Calibri"/>
                <w:i/>
                <w:iCs/>
                <w:color w:val="2E74B5"/>
                <w:sz w:val="18"/>
                <w:szCs w:val="18"/>
                <w:lang w:val="fr-FR"/>
              </w:rPr>
              <w:t>Petretti</w:t>
            </w:r>
            <w:proofErr w:type="spellEnd"/>
            <w:r w:rsidR="007350F8">
              <w:rPr>
                <w:rFonts w:ascii="Calibri" w:eastAsia="Calibri" w:hAnsi="Calibri" w:cs="Calibri"/>
                <w:i/>
                <w:iCs/>
                <w:color w:val="2E74B5"/>
                <w:sz w:val="18"/>
                <w:szCs w:val="18"/>
                <w:lang w:val="fr-FR"/>
              </w:rPr>
              <w:t>, militante de la lutte contre le VIH basée au Royaume-Uni, lors d'une rencontre de la National HIV Nurses Association en 2017, qui souligne que l’expression « les personnes difficiles à convaincre » fait peser la responsabilité de la mise en place de services de lutte contre le VIH sur les individus plutôt que sur les services sanitaires.</w:t>
            </w:r>
          </w:p>
          <w:p w14:paraId="60CD608A" w14:textId="77777777" w:rsidR="00341E39" w:rsidRPr="00727EC8" w:rsidRDefault="007350F8" w:rsidP="00417223">
            <w:pPr>
              <w:pStyle w:val="Default"/>
              <w:spacing w:line="276" w:lineRule="auto"/>
              <w:rPr>
                <w:rFonts w:asciiTheme="minorHAnsi" w:hAnsiTheme="minorHAnsi" w:cstheme="minorHAnsi"/>
                <w:sz w:val="22"/>
                <w:szCs w:val="22"/>
              </w:rPr>
            </w:pPr>
            <w:r w:rsidRPr="00727EC8">
              <w:rPr>
                <w:rFonts w:asciiTheme="minorHAnsi" w:hAnsiTheme="minorHAnsi" w:cstheme="minorHAnsi"/>
                <w:noProof/>
                <w:sz w:val="22"/>
                <w:szCs w:val="22"/>
                <w:lang w:val="fr-CH" w:eastAsia="fr-CH"/>
              </w:rPr>
              <mc:AlternateContent>
                <mc:Choice Requires="wps">
                  <w:drawing>
                    <wp:anchor distT="0" distB="0" distL="114300" distR="114300" simplePos="0" relativeHeight="251677696" behindDoc="0" locked="0" layoutInCell="1" allowOverlap="1" wp14:anchorId="1D67AD37" wp14:editId="2D6CC5F6">
                      <wp:simplePos x="0" y="0"/>
                      <wp:positionH relativeFrom="page">
                        <wp:posOffset>503555</wp:posOffset>
                      </wp:positionH>
                      <wp:positionV relativeFrom="page">
                        <wp:posOffset>2005066</wp:posOffset>
                      </wp:positionV>
                      <wp:extent cx="3410769" cy="97941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10769" cy="979417"/>
                              </a:xfrm>
                              <a:prstGeom prst="rect">
                                <a:avLst/>
                              </a:prstGeom>
                              <a:solidFill>
                                <a:srgbClr val="F3F7FB"/>
                              </a:solidFill>
                              <a:ln w="6350">
                                <a:noFill/>
                              </a:ln>
                            </wps:spPr>
                            <wps:txbx>
                              <w:txbxContent>
                                <w:p w14:paraId="7FB11E36" w14:textId="77777777" w:rsidR="00BC4C0F" w:rsidRPr="00D15745" w:rsidRDefault="00BC4C0F" w:rsidP="00385ACA">
                                  <w:pPr>
                                    <w:spacing w:after="0" w:line="240" w:lineRule="auto"/>
                                    <w:rPr>
                                      <w:rFonts w:ascii="Arial" w:hAnsi="Arial" w:cs="Arial"/>
                                      <w:sz w:val="14"/>
                                      <w:szCs w:val="14"/>
                                      <w:lang w:val="fr-FR"/>
                                    </w:rPr>
                                  </w:pPr>
                                  <w:r>
                                    <w:rPr>
                                      <w:rFonts w:ascii="Arial" w:eastAsia="Arial" w:hAnsi="Arial" w:cs="Arial"/>
                                      <w:sz w:val="14"/>
                                      <w:szCs w:val="14"/>
                                      <w:lang w:val="fr-FR"/>
                                    </w:rPr>
                                    <w:t xml:space="preserve">Oh mon Dieu ! La présentatrice de la séance plénière de l’#ACTG2018 s'est arrêtée au milieu de sa phrase et a failli dire participants « infectés par le VIH » avant de se reprendre en disant « participants vivant avec le </w:t>
                                  </w:r>
                                  <w:r>
                                    <w:rPr>
                                      <w:rFonts w:ascii="Arial" w:eastAsia="Arial" w:hAnsi="Arial" w:cs="Arial"/>
                                      <w:b/>
                                      <w:bCs/>
                                      <w:sz w:val="14"/>
                                      <w:szCs w:val="14"/>
                                      <w:lang w:val="fr-FR"/>
                                    </w:rPr>
                                    <w:t>VIH</w:t>
                                  </w:r>
                                  <w:r>
                                    <w:rPr>
                                      <w:rFonts w:ascii="Arial" w:eastAsia="Arial" w:hAnsi="Arial" w:cs="Arial"/>
                                      <w:sz w:val="14"/>
                                      <w:szCs w:val="14"/>
                                      <w:lang w:val="fr-FR"/>
                                    </w:rPr>
                                    <w:t> ». [</w:t>
                                  </w:r>
                                  <w:r>
                                    <w:rPr>
                                      <w:rFonts w:ascii="Arial" w:eastAsia="Arial" w:hAnsi="Arial" w:cs="Arial"/>
                                      <w:sz w:val="14"/>
                                      <w:szCs w:val="14"/>
                                      <w:lang w:val="fr-FR"/>
                                    </w:rPr>
                                    <w:t>emojis]</w:t>
                                  </w:r>
                                </w:p>
                                <w:p w14:paraId="48E10A55" w14:textId="77777777" w:rsidR="00BC4C0F" w:rsidRPr="00D15745" w:rsidRDefault="00BC4C0F" w:rsidP="00385ACA">
                                  <w:pPr>
                                    <w:spacing w:after="0" w:line="240" w:lineRule="auto"/>
                                    <w:rPr>
                                      <w:rFonts w:ascii="Arial" w:hAnsi="Arial" w:cs="Arial"/>
                                      <w:sz w:val="14"/>
                                      <w:szCs w:val="14"/>
                                      <w:lang w:val="fr-FR"/>
                                    </w:rPr>
                                  </w:pPr>
                                </w:p>
                                <w:p w14:paraId="7C563D83" w14:textId="77777777" w:rsidR="00BC4C0F" w:rsidRPr="00D15745" w:rsidRDefault="00BC4C0F" w:rsidP="00385ACA">
                                  <w:pPr>
                                    <w:spacing w:after="0" w:line="240" w:lineRule="auto"/>
                                    <w:rPr>
                                      <w:rFonts w:ascii="Arial" w:hAnsi="Arial" w:cs="Arial"/>
                                      <w:sz w:val="14"/>
                                      <w:szCs w:val="14"/>
                                      <w:lang w:val="fr-FR"/>
                                    </w:rPr>
                                  </w:pPr>
                                </w:p>
                                <w:p w14:paraId="1382B43E" w14:textId="554DFBA3" w:rsidR="00BC4C0F" w:rsidRPr="00385ACA" w:rsidRDefault="00BC4C0F" w:rsidP="00385ACA">
                                  <w:pPr>
                                    <w:spacing w:after="0" w:line="240" w:lineRule="auto"/>
                                    <w:rPr>
                                      <w:rFonts w:ascii="Arial" w:hAnsi="Arial" w:cs="Arial"/>
                                      <w:b/>
                                      <w:bCs/>
                                      <w:sz w:val="14"/>
                                      <w:szCs w:val="14"/>
                                    </w:rPr>
                                  </w:pPr>
                                  <w:r>
                                    <w:rPr>
                                      <w:rFonts w:ascii="Arial" w:eastAsia="Arial" w:hAnsi="Arial" w:cs="Arial"/>
                                      <w:sz w:val="14"/>
                                      <w:szCs w:val="14"/>
                                      <w:lang w:val="fr-FR"/>
                                    </w:rPr>
                                    <w:t>@</w:t>
                                  </w:r>
                                  <w:r>
                                    <w:rPr>
                                      <w:rFonts w:ascii="Arial" w:eastAsia="Arial" w:hAnsi="Arial" w:cs="Arial"/>
                                      <w:sz w:val="14"/>
                                      <w:szCs w:val="14"/>
                                      <w:lang w:val="fr-FR"/>
                                    </w:rPr>
                                    <w:t xml:space="preserve">ACTGNetwork encourage l'inclusion et la lutte contre l'utilisation de termes stigmatisants en rapport avec le </w:t>
                                  </w:r>
                                  <w:r>
                                    <w:rPr>
                                      <w:rFonts w:ascii="Arial" w:eastAsia="Arial" w:hAnsi="Arial" w:cs="Arial"/>
                                      <w:b/>
                                      <w:bCs/>
                                      <w:sz w:val="14"/>
                                      <w:szCs w:val="14"/>
                                      <w:lang w:val="fr-FR"/>
                                    </w:rPr>
                                    <w:t>#VIH</w:t>
                                  </w:r>
                                  <w:r>
                                    <w:rPr>
                                      <w:rFonts w:ascii="Arial" w:eastAsia="Arial" w:hAnsi="Arial" w:cs="Arial"/>
                                      <w:sz w:val="14"/>
                                      <w:szCs w:val="14"/>
                                      <w:lang w:val="fr-FR"/>
                                    </w:rPr>
                                    <w:t xml:space="preserve"> ! Merci ! </w:t>
                                  </w:r>
                                  <w:r>
                                    <w:rPr>
                                      <w:rFonts w:ascii="Arial" w:eastAsia="Arial" w:hAnsi="Arial" w:cs="Arial"/>
                                      <w:b/>
                                      <w:bCs/>
                                      <w:sz w:val="14"/>
                                      <w:szCs w:val="14"/>
                                      <w:lang w:val="fr-FR"/>
                                    </w:rPr>
                                    <w:t>#LanguageMatters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AD37" id="Text Box 13" o:spid="_x0000_s1034" type="#_x0000_t202" style="position:absolute;margin-left:39.65pt;margin-top:157.9pt;width:268.55pt;height:77.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" fillcolor="#f3f7fb" stroked="f" strokeweight=".5pt">
                      <v:textbox inset="0,0,0,0">
                        <w:txbxContent>
                          <w:p w14:paraId="7FB11E36" w14:textId="77777777" w:rsidR="00BC4C0F" w:rsidRPr="00D15745" w:rsidRDefault="00BC4C0F" w:rsidP="00385ACA">
                            <w:pPr>
                              <w:spacing w:after="0" w:line="240" w:lineRule="auto"/>
                              <w:rPr>
                                <w:rFonts w:ascii="Arial" w:hAnsi="Arial" w:cs="Arial"/>
                                <w:sz w:val="14"/>
                                <w:szCs w:val="14"/>
                                <w:lang w:val="fr-FR"/>
                              </w:rPr>
                            </w:pPr>
                            <w:r>
                              <w:rPr>
                                <w:rFonts w:ascii="Arial" w:eastAsia="Arial" w:hAnsi="Arial" w:cs="Arial"/>
                                <w:sz w:val="14"/>
                                <w:szCs w:val="14"/>
                                <w:lang w:val="fr-FR"/>
                              </w:rPr>
                              <w:t xml:space="preserve">Oh mon Dieu ! La présentatrice de la séance plénière de l’#ACTG2018 s'est arrêtée au milieu de sa phrase et a failli dire participants « infectés par le VIH » avant de se reprendre en disant « participants vivant avec le </w:t>
                            </w:r>
                            <w:r>
                              <w:rPr>
                                <w:rFonts w:ascii="Arial" w:eastAsia="Arial" w:hAnsi="Arial" w:cs="Arial"/>
                                <w:b/>
                                <w:bCs/>
                                <w:sz w:val="14"/>
                                <w:szCs w:val="14"/>
                                <w:lang w:val="fr-FR"/>
                              </w:rPr>
                              <w:t>VIH</w:t>
                            </w:r>
                            <w:r>
                              <w:rPr>
                                <w:rFonts w:ascii="Arial" w:eastAsia="Arial" w:hAnsi="Arial" w:cs="Arial"/>
                                <w:sz w:val="14"/>
                                <w:szCs w:val="14"/>
                                <w:lang w:val="fr-FR"/>
                              </w:rPr>
                              <w:t> ». [</w:t>
                            </w:r>
                            <w:proofErr w:type="gramStart"/>
                            <w:r>
                              <w:rPr>
                                <w:rFonts w:ascii="Arial" w:eastAsia="Arial" w:hAnsi="Arial" w:cs="Arial"/>
                                <w:sz w:val="14"/>
                                <w:szCs w:val="14"/>
                                <w:lang w:val="fr-FR"/>
                              </w:rPr>
                              <w:t>emojis</w:t>
                            </w:r>
                            <w:proofErr w:type="gramEnd"/>
                            <w:r>
                              <w:rPr>
                                <w:rFonts w:ascii="Arial" w:eastAsia="Arial" w:hAnsi="Arial" w:cs="Arial"/>
                                <w:sz w:val="14"/>
                                <w:szCs w:val="14"/>
                                <w:lang w:val="fr-FR"/>
                              </w:rPr>
                              <w:t>]</w:t>
                            </w:r>
                          </w:p>
                          <w:p w14:paraId="48E10A55" w14:textId="77777777" w:rsidR="00BC4C0F" w:rsidRPr="00D15745" w:rsidRDefault="00BC4C0F" w:rsidP="00385ACA">
                            <w:pPr>
                              <w:spacing w:after="0" w:line="240" w:lineRule="auto"/>
                              <w:rPr>
                                <w:rFonts w:ascii="Arial" w:hAnsi="Arial" w:cs="Arial"/>
                                <w:sz w:val="14"/>
                                <w:szCs w:val="14"/>
                                <w:lang w:val="fr-FR"/>
                              </w:rPr>
                            </w:pPr>
                          </w:p>
                          <w:p w14:paraId="7C563D83" w14:textId="77777777" w:rsidR="00BC4C0F" w:rsidRPr="00D15745" w:rsidRDefault="00BC4C0F" w:rsidP="00385ACA">
                            <w:pPr>
                              <w:spacing w:after="0" w:line="240" w:lineRule="auto"/>
                              <w:rPr>
                                <w:rFonts w:ascii="Arial" w:hAnsi="Arial" w:cs="Arial"/>
                                <w:sz w:val="14"/>
                                <w:szCs w:val="14"/>
                                <w:lang w:val="fr-FR"/>
                              </w:rPr>
                            </w:pPr>
                          </w:p>
                          <w:p w14:paraId="1382B43E" w14:textId="554DFBA3" w:rsidR="00BC4C0F" w:rsidRPr="00385ACA" w:rsidRDefault="00BC4C0F" w:rsidP="00385ACA">
                            <w:pPr>
                              <w:spacing w:after="0" w:line="240" w:lineRule="auto"/>
                              <w:rPr>
                                <w:rFonts w:ascii="Arial" w:hAnsi="Arial" w:cs="Arial"/>
                                <w:b/>
                                <w:bCs/>
                                <w:sz w:val="14"/>
                                <w:szCs w:val="14"/>
                              </w:rPr>
                            </w:pPr>
                            <w:r>
                              <w:rPr>
                                <w:rFonts w:ascii="Arial" w:eastAsia="Arial" w:hAnsi="Arial" w:cs="Arial"/>
                                <w:sz w:val="14"/>
                                <w:szCs w:val="14"/>
                                <w:lang w:val="fr-FR"/>
                              </w:rPr>
                              <w:t>@</w:t>
                            </w:r>
                            <w:proofErr w:type="spellStart"/>
                            <w:r>
                              <w:rPr>
                                <w:rFonts w:ascii="Arial" w:eastAsia="Arial" w:hAnsi="Arial" w:cs="Arial"/>
                                <w:sz w:val="14"/>
                                <w:szCs w:val="14"/>
                                <w:lang w:val="fr-FR"/>
                              </w:rPr>
                              <w:t>ACTGNetwork</w:t>
                            </w:r>
                            <w:proofErr w:type="spellEnd"/>
                            <w:r>
                              <w:rPr>
                                <w:rFonts w:ascii="Arial" w:eastAsia="Arial" w:hAnsi="Arial" w:cs="Arial"/>
                                <w:sz w:val="14"/>
                                <w:szCs w:val="14"/>
                                <w:lang w:val="fr-FR"/>
                              </w:rPr>
                              <w:t xml:space="preserve"> encourage l'inclusion et la lutte contre l'utilisation de termes stigmatisants en rapport avec le </w:t>
                            </w:r>
                            <w:r>
                              <w:rPr>
                                <w:rFonts w:ascii="Arial" w:eastAsia="Arial" w:hAnsi="Arial" w:cs="Arial"/>
                                <w:b/>
                                <w:bCs/>
                                <w:sz w:val="14"/>
                                <w:szCs w:val="14"/>
                                <w:lang w:val="fr-FR"/>
                              </w:rPr>
                              <w:t>#VIH</w:t>
                            </w:r>
                            <w:r>
                              <w:rPr>
                                <w:rFonts w:ascii="Arial" w:eastAsia="Arial" w:hAnsi="Arial" w:cs="Arial"/>
                                <w:sz w:val="14"/>
                                <w:szCs w:val="14"/>
                                <w:lang w:val="fr-FR"/>
                              </w:rPr>
                              <w:t xml:space="preserve"> ! Merci ! </w:t>
                            </w:r>
                            <w:r>
                              <w:rPr>
                                <w:rFonts w:ascii="Arial" w:eastAsia="Arial" w:hAnsi="Arial" w:cs="Arial"/>
                                <w:b/>
                                <w:bCs/>
                                <w:sz w:val="14"/>
                                <w:szCs w:val="14"/>
                                <w:lang w:val="fr-FR"/>
                              </w:rPr>
                              <w:t>#</w:t>
                            </w:r>
                            <w:proofErr w:type="spellStart"/>
                            <w:r>
                              <w:rPr>
                                <w:rFonts w:ascii="Arial" w:eastAsia="Arial" w:hAnsi="Arial" w:cs="Arial"/>
                                <w:b/>
                                <w:bCs/>
                                <w:sz w:val="14"/>
                                <w:szCs w:val="14"/>
                                <w:lang w:val="fr-FR"/>
                              </w:rPr>
                              <w:t>LanguageMatters</w:t>
                            </w:r>
                            <w:proofErr w:type="spellEnd"/>
                          </w:p>
                        </w:txbxContent>
                      </v:textbox>
                      <w10:wrap anchorx="page" anchory="page"/>
                    </v:shape>
                  </w:pict>
                </mc:Fallback>
              </mc:AlternateContent>
            </w:r>
            <w:r w:rsidR="00341E39" w:rsidRPr="00727EC8">
              <w:rPr>
                <w:rFonts w:asciiTheme="minorHAnsi" w:hAnsiTheme="minorHAnsi" w:cstheme="minorHAnsi"/>
                <w:noProof/>
                <w:sz w:val="22"/>
                <w:szCs w:val="22"/>
                <w:lang w:val="fr-CH" w:eastAsia="fr-CH"/>
              </w:rPr>
              <w:drawing>
                <wp:inline distT="0" distB="0" distL="0" distR="0" wp14:anchorId="26070F87" wp14:editId="77EB6AA8">
                  <wp:extent cx="3914775" cy="10745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630048"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986419" cy="1094168"/>
                          </a:xfrm>
                          <a:prstGeom prst="rect">
                            <a:avLst/>
                          </a:prstGeom>
                          <a:noFill/>
                          <a:ln>
                            <a:noFill/>
                          </a:ln>
                        </pic:spPr>
                      </pic:pic>
                    </a:graphicData>
                  </a:graphic>
                </wp:inline>
              </w:drawing>
            </w:r>
          </w:p>
          <w:p w14:paraId="41FD79BB" w14:textId="77777777" w:rsidR="00341E39" w:rsidRPr="00D15745" w:rsidRDefault="007350F8" w:rsidP="00417223">
            <w:pPr>
              <w:pStyle w:val="Default"/>
              <w:spacing w:line="276" w:lineRule="auto"/>
              <w:rPr>
                <w:rFonts w:asciiTheme="minorHAnsi" w:hAnsiTheme="minorHAnsi" w:cstheme="minorHAnsi"/>
                <w:color w:val="2E74B5"/>
                <w:sz w:val="18"/>
                <w:szCs w:val="18"/>
                <w:lang w:val="fr-FR"/>
              </w:rPr>
            </w:pPr>
            <w:r>
              <w:rPr>
                <w:rFonts w:ascii="Calibri" w:eastAsia="Calibri" w:hAnsi="Calibri" w:cs="Calibri"/>
                <w:i/>
                <w:iCs/>
                <w:color w:val="2E74B5"/>
                <w:sz w:val="18"/>
                <w:szCs w:val="18"/>
                <w:lang w:val="fr-FR"/>
              </w:rPr>
              <w:t>Ce tweet de Morénike Giwa Onaiwu, éducatrice et militante pour les droits des personnes autistes et séropositives, salue l’emploi de termes valorisants par une présentatrice lors de l'ACTG 2018.</w:t>
            </w:r>
          </w:p>
        </w:tc>
      </w:tr>
    </w:tbl>
    <w:p w14:paraId="42850C77" w14:textId="77777777" w:rsidR="00341E39" w:rsidRPr="00D15745" w:rsidRDefault="00341E39" w:rsidP="00417223">
      <w:pPr>
        <w:pStyle w:val="Default"/>
        <w:spacing w:after="120" w:line="276" w:lineRule="auto"/>
        <w:jc w:val="center"/>
        <w:rPr>
          <w:rFonts w:asciiTheme="minorHAnsi" w:hAnsiTheme="minorHAnsi" w:cstheme="minorHAnsi"/>
          <w:sz w:val="22"/>
          <w:szCs w:val="22"/>
          <w:lang w:val="fr-FR"/>
        </w:rPr>
      </w:pPr>
    </w:p>
    <w:p w14:paraId="053C0B86" w14:textId="6A81672A" w:rsidR="00AA4320" w:rsidRPr="00D15745" w:rsidRDefault="007350F8" w:rsidP="00821716">
      <w:pPr>
        <w:pStyle w:val="Heading1"/>
        <w:rPr>
          <w:lang w:val="fr-FR"/>
        </w:rPr>
      </w:pPr>
      <w:bookmarkStart w:id="2" w:name="_Toc39003301"/>
      <w:r>
        <w:rPr>
          <w:rFonts w:ascii="Calibri" w:eastAsia="Calibri" w:hAnsi="Calibri" w:cs="Calibri"/>
          <w:bCs/>
          <w:lang w:val="fr-FR"/>
        </w:rPr>
        <w:t>Méthodologie</w:t>
      </w:r>
      <w:bookmarkEnd w:id="2"/>
    </w:p>
    <w:p w14:paraId="6B92C26F" w14:textId="77777777" w:rsidR="00341E39" w:rsidRPr="00D15745" w:rsidRDefault="00341E39" w:rsidP="00417223">
      <w:pPr>
        <w:pStyle w:val="Default"/>
        <w:spacing w:line="276" w:lineRule="auto"/>
        <w:rPr>
          <w:rFonts w:asciiTheme="minorHAnsi" w:hAnsiTheme="minorHAnsi" w:cstheme="minorHAnsi"/>
          <w:sz w:val="22"/>
          <w:szCs w:val="22"/>
          <w:lang w:val="fr-FR"/>
        </w:rPr>
      </w:pPr>
    </w:p>
    <w:p w14:paraId="783A0359" w14:textId="7576D717" w:rsidR="00AA4320" w:rsidRPr="00D15745" w:rsidRDefault="002822F0" w:rsidP="007B4AC8">
      <w:pPr>
        <w:pStyle w:val="Default"/>
        <w:spacing w:after="120" w:line="276" w:lineRule="auto"/>
        <w:rPr>
          <w:rFonts w:asciiTheme="minorHAnsi" w:hAnsiTheme="minorHAnsi" w:cstheme="minorHAnsi"/>
          <w:color w:val="auto"/>
          <w:sz w:val="22"/>
          <w:szCs w:val="22"/>
          <w:lang w:val="fr-FR"/>
        </w:rPr>
      </w:pPr>
      <w:r w:rsidRPr="002822F0">
        <w:rPr>
          <w:rFonts w:asciiTheme="minorHAnsi" w:hAnsiTheme="minorHAnsi" w:cstheme="minorHAnsi"/>
          <w:color w:val="auto"/>
          <w:sz w:val="22"/>
          <w:szCs w:val="22"/>
          <w:lang w:val="fr-FR"/>
        </w:rPr>
        <w:t xml:space="preserve">Ce guide a été créé par la Direction de l'information et de la rédaction scientifique (News &amp; Science </w:t>
      </w:r>
      <w:proofErr w:type="spellStart"/>
      <w:r w:rsidRPr="002822F0">
        <w:rPr>
          <w:rFonts w:asciiTheme="minorHAnsi" w:hAnsiTheme="minorHAnsi" w:cstheme="minorHAnsi"/>
          <w:color w:val="auto"/>
          <w:sz w:val="22"/>
          <w:szCs w:val="22"/>
          <w:lang w:val="fr-FR"/>
        </w:rPr>
        <w:t>Writing</w:t>
      </w:r>
      <w:proofErr w:type="spellEnd"/>
      <w:r w:rsidRPr="002822F0">
        <w:rPr>
          <w:rFonts w:asciiTheme="minorHAnsi" w:hAnsiTheme="minorHAnsi" w:cstheme="minorHAnsi"/>
          <w:color w:val="auto"/>
          <w:sz w:val="22"/>
          <w:szCs w:val="22"/>
          <w:lang w:val="fr-FR"/>
        </w:rPr>
        <w:t xml:space="preserve"> Branch, NSWB) du Bureau des communications et des relations gouvernementales (Office of Communications &amp; </w:t>
      </w:r>
      <w:proofErr w:type="spellStart"/>
      <w:r w:rsidRPr="002822F0">
        <w:rPr>
          <w:rFonts w:asciiTheme="minorHAnsi" w:hAnsiTheme="minorHAnsi" w:cstheme="minorHAnsi"/>
          <w:color w:val="auto"/>
          <w:sz w:val="22"/>
          <w:szCs w:val="22"/>
          <w:lang w:val="fr-FR"/>
        </w:rPr>
        <w:t>Government</w:t>
      </w:r>
      <w:proofErr w:type="spellEnd"/>
      <w:r w:rsidRPr="002822F0">
        <w:rPr>
          <w:rFonts w:asciiTheme="minorHAnsi" w:hAnsiTheme="minorHAnsi" w:cstheme="minorHAnsi"/>
          <w:color w:val="auto"/>
          <w:sz w:val="22"/>
          <w:szCs w:val="22"/>
          <w:lang w:val="fr-FR"/>
        </w:rPr>
        <w:t xml:space="preserve"> Relations, OCGR) </w:t>
      </w:r>
      <w:r w:rsidR="007B4AC8">
        <w:rPr>
          <w:rFonts w:asciiTheme="minorHAnsi" w:hAnsiTheme="minorHAnsi" w:cstheme="minorHAnsi"/>
          <w:color w:val="auto"/>
          <w:sz w:val="22"/>
          <w:szCs w:val="22"/>
          <w:lang w:val="fr-FR"/>
        </w:rPr>
        <w:t xml:space="preserve">du </w:t>
      </w:r>
      <w:r w:rsidR="00BB5117">
        <w:rPr>
          <w:rFonts w:asciiTheme="minorHAnsi" w:hAnsiTheme="minorHAnsi" w:cstheme="minorHAnsi"/>
          <w:color w:val="auto"/>
          <w:sz w:val="22"/>
          <w:szCs w:val="22"/>
          <w:lang w:val="fr-FR"/>
        </w:rPr>
        <w:t>NIAID</w:t>
      </w:r>
      <w:r w:rsidRPr="002822F0">
        <w:rPr>
          <w:rFonts w:asciiTheme="minorHAnsi" w:hAnsiTheme="minorHAnsi" w:cstheme="minorHAnsi"/>
          <w:color w:val="auto"/>
          <w:sz w:val="22"/>
          <w:szCs w:val="22"/>
          <w:lang w:val="fr-FR"/>
        </w:rPr>
        <w:t xml:space="preserve">, avec la contribution de la Division du syndrome d'immunodéficience acquise (Division of </w:t>
      </w:r>
      <w:proofErr w:type="spellStart"/>
      <w:r w:rsidRPr="002822F0">
        <w:rPr>
          <w:rFonts w:asciiTheme="minorHAnsi" w:hAnsiTheme="minorHAnsi" w:cstheme="minorHAnsi"/>
          <w:color w:val="auto"/>
          <w:sz w:val="22"/>
          <w:szCs w:val="22"/>
          <w:lang w:val="fr-FR"/>
        </w:rPr>
        <w:t>Acquired</w:t>
      </w:r>
      <w:proofErr w:type="spellEnd"/>
      <w:r w:rsidRPr="002822F0">
        <w:rPr>
          <w:rFonts w:asciiTheme="minorHAnsi" w:hAnsiTheme="minorHAnsi" w:cstheme="minorHAnsi"/>
          <w:color w:val="auto"/>
          <w:sz w:val="22"/>
          <w:szCs w:val="22"/>
          <w:lang w:val="fr-FR"/>
        </w:rPr>
        <w:t xml:space="preserve"> </w:t>
      </w:r>
      <w:proofErr w:type="spellStart"/>
      <w:r w:rsidRPr="002822F0">
        <w:rPr>
          <w:rFonts w:asciiTheme="minorHAnsi" w:hAnsiTheme="minorHAnsi" w:cstheme="minorHAnsi"/>
          <w:color w:val="auto"/>
          <w:sz w:val="22"/>
          <w:szCs w:val="22"/>
          <w:lang w:val="fr-FR"/>
        </w:rPr>
        <w:t>Immunodeficiency</w:t>
      </w:r>
      <w:proofErr w:type="spellEnd"/>
      <w:r w:rsidRPr="002822F0">
        <w:rPr>
          <w:rFonts w:asciiTheme="minorHAnsi" w:hAnsiTheme="minorHAnsi" w:cstheme="minorHAnsi"/>
          <w:color w:val="auto"/>
          <w:sz w:val="22"/>
          <w:szCs w:val="22"/>
          <w:lang w:val="fr-FR"/>
        </w:rPr>
        <w:t xml:space="preserve"> Syndrome, DAIDS) de la Direction générale des opérations du personnel, des communications et des rapports (</w:t>
      </w:r>
      <w:proofErr w:type="spellStart"/>
      <w:r w:rsidRPr="002822F0">
        <w:rPr>
          <w:rFonts w:asciiTheme="minorHAnsi" w:hAnsiTheme="minorHAnsi" w:cstheme="minorHAnsi"/>
          <w:color w:val="auto"/>
          <w:sz w:val="22"/>
          <w:szCs w:val="22"/>
          <w:lang w:val="fr-FR"/>
        </w:rPr>
        <w:t>Workforce</w:t>
      </w:r>
      <w:proofErr w:type="spellEnd"/>
      <w:r w:rsidRPr="002822F0">
        <w:rPr>
          <w:rFonts w:asciiTheme="minorHAnsi" w:hAnsiTheme="minorHAnsi" w:cstheme="minorHAnsi"/>
          <w:color w:val="auto"/>
          <w:sz w:val="22"/>
          <w:szCs w:val="22"/>
          <w:lang w:val="fr-FR"/>
        </w:rPr>
        <w:t xml:space="preserve"> Operations, Communications, and </w:t>
      </w:r>
      <w:proofErr w:type="spellStart"/>
      <w:r w:rsidRPr="002822F0">
        <w:rPr>
          <w:rFonts w:asciiTheme="minorHAnsi" w:hAnsiTheme="minorHAnsi" w:cstheme="minorHAnsi"/>
          <w:color w:val="auto"/>
          <w:sz w:val="22"/>
          <w:szCs w:val="22"/>
          <w:lang w:val="fr-FR"/>
        </w:rPr>
        <w:t>Reporting</w:t>
      </w:r>
      <w:proofErr w:type="spellEnd"/>
      <w:r w:rsidRPr="002822F0">
        <w:rPr>
          <w:rFonts w:asciiTheme="minorHAnsi" w:hAnsiTheme="minorHAnsi" w:cstheme="minorHAnsi"/>
          <w:color w:val="auto"/>
          <w:sz w:val="22"/>
          <w:szCs w:val="22"/>
          <w:lang w:val="fr-FR"/>
        </w:rPr>
        <w:t xml:space="preserve"> Branch, WOCRB). Ce guide est un document dynamique susceptible d'être mis à jour en fonction de l'évolution des normes linguistiques dans divers domaines. Il a été mis à jour le 19 février 2020.</w:t>
      </w:r>
    </w:p>
    <w:p w14:paraId="5742505F" w14:textId="21366932" w:rsidR="00EE0FC3" w:rsidRPr="000C4E9B" w:rsidRDefault="00EE0FC3" w:rsidP="002822F0">
      <w:pPr>
        <w:pStyle w:val="Default"/>
        <w:spacing w:after="120" w:line="276" w:lineRule="auto"/>
        <w:rPr>
          <w:rFonts w:ascii="Calibri" w:eastAsia="Calibri" w:hAnsi="Calibri" w:cs="Calibri"/>
          <w:sz w:val="22"/>
          <w:szCs w:val="22"/>
          <w:lang w:val="fr-FR"/>
        </w:rPr>
      </w:pPr>
      <w:r w:rsidRPr="000C4E9B">
        <w:rPr>
          <w:rFonts w:ascii="Calibri" w:eastAsia="Calibri" w:hAnsi="Calibri" w:cs="Calibri"/>
          <w:sz w:val="22"/>
          <w:szCs w:val="22"/>
          <w:lang w:val="fr-FR"/>
        </w:rPr>
        <w:t xml:space="preserve">Avant de finaliser la première version, de </w:t>
      </w:r>
      <w:r w:rsidRPr="00BC4C0F">
        <w:rPr>
          <w:rFonts w:ascii="Calibri" w:eastAsia="Calibri" w:hAnsi="Calibri" w:cs="Calibri"/>
          <w:sz w:val="22"/>
          <w:szCs w:val="22"/>
          <w:lang w:val="fr-FR"/>
        </w:rPr>
        <w:t>nombreux représentants</w:t>
      </w:r>
      <w:r w:rsidRPr="000C4E9B">
        <w:rPr>
          <w:rFonts w:ascii="Calibri" w:eastAsia="Calibri" w:hAnsi="Calibri" w:cs="Calibri"/>
          <w:sz w:val="22"/>
          <w:szCs w:val="22"/>
          <w:lang w:val="fr-FR"/>
        </w:rPr>
        <w:t xml:space="preserve"> des Instituts américains de la santé (National Institutes of </w:t>
      </w:r>
      <w:proofErr w:type="spellStart"/>
      <w:r w:rsidRPr="000C4E9B">
        <w:rPr>
          <w:rFonts w:ascii="Calibri" w:eastAsia="Calibri" w:hAnsi="Calibri" w:cs="Calibri"/>
          <w:sz w:val="22"/>
          <w:szCs w:val="22"/>
          <w:lang w:val="fr-FR"/>
        </w:rPr>
        <w:t>Health</w:t>
      </w:r>
      <w:proofErr w:type="spellEnd"/>
      <w:r w:rsidRPr="000C4E9B">
        <w:rPr>
          <w:rFonts w:ascii="Calibri" w:eastAsia="Calibri" w:hAnsi="Calibri" w:cs="Calibri"/>
          <w:sz w:val="22"/>
          <w:szCs w:val="22"/>
          <w:lang w:val="fr-FR"/>
        </w:rPr>
        <w:t xml:space="preserve">, NIH), d'autres organisations de santé publique et groupes de défense communautaires ont eu l'occasion d'examiner et de contribuer aux sections pertinentes de ce guide afin d'en garantir l'exactitude scientifique, la participation de la communauté et l'adéquation culturelle. Les </w:t>
      </w:r>
      <w:r w:rsidRPr="00BC4C0F">
        <w:rPr>
          <w:rFonts w:ascii="Calibri" w:eastAsia="Calibri" w:hAnsi="Calibri" w:cs="Calibri"/>
          <w:sz w:val="22"/>
          <w:szCs w:val="22"/>
          <w:lang w:val="fr-FR"/>
        </w:rPr>
        <w:t>réviseurs</w:t>
      </w:r>
      <w:r w:rsidRPr="000C4E9B">
        <w:rPr>
          <w:rFonts w:ascii="Calibri" w:eastAsia="Calibri" w:hAnsi="Calibri" w:cs="Calibri"/>
          <w:sz w:val="22"/>
          <w:szCs w:val="22"/>
          <w:lang w:val="fr-FR"/>
        </w:rPr>
        <w:t xml:space="preserve"> incluaient des </w:t>
      </w:r>
      <w:r w:rsidRPr="00BC4C0F">
        <w:rPr>
          <w:rFonts w:ascii="Calibri" w:eastAsia="Calibri" w:hAnsi="Calibri" w:cs="Calibri"/>
          <w:sz w:val="22"/>
          <w:szCs w:val="22"/>
          <w:lang w:val="fr-FR"/>
        </w:rPr>
        <w:t>experts</w:t>
      </w:r>
      <w:r w:rsidRPr="000C4E9B">
        <w:rPr>
          <w:rFonts w:ascii="Calibri" w:eastAsia="Calibri" w:hAnsi="Calibri" w:cs="Calibri"/>
          <w:sz w:val="22"/>
          <w:szCs w:val="22"/>
          <w:lang w:val="fr-FR"/>
        </w:rPr>
        <w:t xml:space="preserve"> des domaines concernés et des </w:t>
      </w:r>
      <w:r w:rsidRPr="00BC4C0F">
        <w:rPr>
          <w:rFonts w:ascii="Calibri" w:eastAsia="Calibri" w:hAnsi="Calibri" w:cs="Calibri"/>
          <w:sz w:val="22"/>
          <w:szCs w:val="22"/>
          <w:lang w:val="fr-FR"/>
        </w:rPr>
        <w:t>experts</w:t>
      </w:r>
      <w:r w:rsidRPr="000C4E9B">
        <w:rPr>
          <w:rFonts w:ascii="Calibri" w:eastAsia="Calibri" w:hAnsi="Calibri" w:cs="Calibri"/>
          <w:sz w:val="22"/>
          <w:szCs w:val="22"/>
          <w:lang w:val="fr-FR"/>
        </w:rPr>
        <w:t xml:space="preserve"> en communication d'autres instituts et centres des NIH, notamment l’Institut national de la santé mentale (National Institute of Mental </w:t>
      </w:r>
      <w:proofErr w:type="spellStart"/>
      <w:r w:rsidRPr="000C4E9B">
        <w:rPr>
          <w:rFonts w:ascii="Calibri" w:eastAsia="Calibri" w:hAnsi="Calibri" w:cs="Calibri"/>
          <w:sz w:val="22"/>
          <w:szCs w:val="22"/>
          <w:lang w:val="fr-FR"/>
        </w:rPr>
        <w:t>Health</w:t>
      </w:r>
      <w:proofErr w:type="spellEnd"/>
      <w:r w:rsidRPr="000C4E9B">
        <w:rPr>
          <w:rFonts w:ascii="Calibri" w:eastAsia="Calibri" w:hAnsi="Calibri" w:cs="Calibri"/>
          <w:sz w:val="22"/>
          <w:szCs w:val="22"/>
          <w:lang w:val="fr-FR"/>
        </w:rPr>
        <w:t xml:space="preserve">, NIMH), l’Institut national de lutte contre la toxicomanie (National Institute of Drug Abuse, NIDA), l’Institut national contre l'abus d'alcool et l'alcoolisme (National Institute of </w:t>
      </w:r>
      <w:proofErr w:type="spellStart"/>
      <w:r w:rsidRPr="000C4E9B">
        <w:rPr>
          <w:rFonts w:ascii="Calibri" w:eastAsia="Calibri" w:hAnsi="Calibri" w:cs="Calibri"/>
          <w:sz w:val="22"/>
          <w:szCs w:val="22"/>
          <w:lang w:val="fr-FR"/>
        </w:rPr>
        <w:t>Alcohol</w:t>
      </w:r>
      <w:proofErr w:type="spellEnd"/>
      <w:r w:rsidRPr="000C4E9B">
        <w:rPr>
          <w:rFonts w:ascii="Calibri" w:eastAsia="Calibri" w:hAnsi="Calibri" w:cs="Calibri"/>
          <w:sz w:val="22"/>
          <w:szCs w:val="22"/>
          <w:lang w:val="fr-FR"/>
        </w:rPr>
        <w:t xml:space="preserve"> Abuse and </w:t>
      </w:r>
      <w:proofErr w:type="spellStart"/>
      <w:r w:rsidRPr="000C4E9B">
        <w:rPr>
          <w:rFonts w:ascii="Calibri" w:eastAsia="Calibri" w:hAnsi="Calibri" w:cs="Calibri"/>
          <w:sz w:val="22"/>
          <w:szCs w:val="22"/>
          <w:lang w:val="fr-FR"/>
        </w:rPr>
        <w:t>Alcoholism</w:t>
      </w:r>
      <w:proofErr w:type="spellEnd"/>
      <w:r w:rsidRPr="000C4E9B">
        <w:rPr>
          <w:rFonts w:ascii="Calibri" w:eastAsia="Calibri" w:hAnsi="Calibri" w:cs="Calibri"/>
          <w:sz w:val="22"/>
          <w:szCs w:val="22"/>
          <w:lang w:val="fr-FR"/>
        </w:rPr>
        <w:t xml:space="preserve">, NIAAA), l’Institut national sur la santé des minorités et les disparités en matière de santé (National Institute on </w:t>
      </w:r>
      <w:proofErr w:type="spellStart"/>
      <w:r w:rsidRPr="000C4E9B">
        <w:rPr>
          <w:rFonts w:ascii="Calibri" w:eastAsia="Calibri" w:hAnsi="Calibri" w:cs="Calibri"/>
          <w:sz w:val="22"/>
          <w:szCs w:val="22"/>
          <w:lang w:val="fr-FR"/>
        </w:rPr>
        <w:t>Minority</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Health</w:t>
      </w:r>
      <w:proofErr w:type="spellEnd"/>
      <w:r w:rsidRPr="000C4E9B">
        <w:rPr>
          <w:rFonts w:ascii="Calibri" w:eastAsia="Calibri" w:hAnsi="Calibri" w:cs="Calibri"/>
          <w:sz w:val="22"/>
          <w:szCs w:val="22"/>
          <w:lang w:val="fr-FR"/>
        </w:rPr>
        <w:t xml:space="preserve"> and </w:t>
      </w:r>
      <w:proofErr w:type="spellStart"/>
      <w:r w:rsidRPr="000C4E9B">
        <w:rPr>
          <w:rFonts w:ascii="Calibri" w:eastAsia="Calibri" w:hAnsi="Calibri" w:cs="Calibri"/>
          <w:sz w:val="22"/>
          <w:szCs w:val="22"/>
          <w:lang w:val="fr-FR"/>
        </w:rPr>
        <w:t>Health</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Disparities</w:t>
      </w:r>
      <w:proofErr w:type="spellEnd"/>
      <w:r w:rsidRPr="000C4E9B">
        <w:rPr>
          <w:rFonts w:ascii="Calibri" w:eastAsia="Calibri" w:hAnsi="Calibri" w:cs="Calibri"/>
          <w:sz w:val="22"/>
          <w:szCs w:val="22"/>
          <w:lang w:val="fr-FR"/>
        </w:rPr>
        <w:t xml:space="preserve">, NIMHD), le Bureau de recherche sur la santé des femmes (Office of </w:t>
      </w:r>
      <w:proofErr w:type="spellStart"/>
      <w:r w:rsidRPr="000C4E9B">
        <w:rPr>
          <w:rFonts w:ascii="Calibri" w:eastAsia="Calibri" w:hAnsi="Calibri" w:cs="Calibri"/>
          <w:sz w:val="22"/>
          <w:szCs w:val="22"/>
          <w:lang w:val="fr-FR"/>
        </w:rPr>
        <w:t>Research</w:t>
      </w:r>
      <w:proofErr w:type="spellEnd"/>
      <w:r w:rsidRPr="000C4E9B">
        <w:rPr>
          <w:rFonts w:ascii="Calibri" w:eastAsia="Calibri" w:hAnsi="Calibri" w:cs="Calibri"/>
          <w:sz w:val="22"/>
          <w:szCs w:val="22"/>
          <w:lang w:val="fr-FR"/>
        </w:rPr>
        <w:t xml:space="preserve"> on </w:t>
      </w:r>
      <w:proofErr w:type="spellStart"/>
      <w:r w:rsidRPr="000C4E9B">
        <w:rPr>
          <w:rFonts w:ascii="Calibri" w:eastAsia="Calibri" w:hAnsi="Calibri" w:cs="Calibri"/>
          <w:sz w:val="22"/>
          <w:szCs w:val="22"/>
          <w:lang w:val="fr-FR"/>
        </w:rPr>
        <w:t>Women's</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Health</w:t>
      </w:r>
      <w:proofErr w:type="spellEnd"/>
      <w:r w:rsidRPr="000C4E9B">
        <w:rPr>
          <w:rFonts w:ascii="Calibri" w:eastAsia="Calibri" w:hAnsi="Calibri" w:cs="Calibri"/>
          <w:sz w:val="22"/>
          <w:szCs w:val="22"/>
          <w:lang w:val="fr-FR"/>
        </w:rPr>
        <w:t xml:space="preserve">, ORWH) du NIH et le Bureau de recherche </w:t>
      </w:r>
      <w:r w:rsidRPr="000C4E9B">
        <w:rPr>
          <w:rFonts w:ascii="Calibri" w:eastAsia="Calibri" w:hAnsi="Calibri" w:cs="Calibri"/>
          <w:sz w:val="22"/>
          <w:szCs w:val="22"/>
          <w:lang w:val="fr-FR"/>
        </w:rPr>
        <w:lastRenderedPageBreak/>
        <w:t>sur les minorités sexuelles et de genre (</w:t>
      </w:r>
      <w:proofErr w:type="spellStart"/>
      <w:r w:rsidRPr="000C4E9B">
        <w:rPr>
          <w:rFonts w:ascii="Calibri" w:eastAsia="Calibri" w:hAnsi="Calibri" w:cs="Calibri"/>
          <w:sz w:val="22"/>
          <w:szCs w:val="22"/>
          <w:lang w:val="fr-FR"/>
        </w:rPr>
        <w:t>Sexual</w:t>
      </w:r>
      <w:proofErr w:type="spellEnd"/>
      <w:r w:rsidRPr="000C4E9B">
        <w:rPr>
          <w:rFonts w:ascii="Calibri" w:eastAsia="Calibri" w:hAnsi="Calibri" w:cs="Calibri"/>
          <w:sz w:val="22"/>
          <w:szCs w:val="22"/>
          <w:lang w:val="fr-FR"/>
        </w:rPr>
        <w:t xml:space="preserve"> &amp; </w:t>
      </w:r>
      <w:proofErr w:type="spellStart"/>
      <w:r w:rsidRPr="000C4E9B">
        <w:rPr>
          <w:rFonts w:ascii="Calibri" w:eastAsia="Calibri" w:hAnsi="Calibri" w:cs="Calibri"/>
          <w:sz w:val="22"/>
          <w:szCs w:val="22"/>
          <w:lang w:val="fr-FR"/>
        </w:rPr>
        <w:t>Gender</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Minority</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Research</w:t>
      </w:r>
      <w:proofErr w:type="spellEnd"/>
      <w:r w:rsidRPr="000C4E9B">
        <w:rPr>
          <w:rFonts w:ascii="Calibri" w:eastAsia="Calibri" w:hAnsi="Calibri" w:cs="Calibri"/>
          <w:sz w:val="22"/>
          <w:szCs w:val="22"/>
          <w:lang w:val="fr-FR"/>
        </w:rPr>
        <w:t xml:space="preserve"> Office, SGMRO) du NIH. De </w:t>
      </w:r>
      <w:r w:rsidRPr="00BC4C0F">
        <w:rPr>
          <w:rFonts w:ascii="Calibri" w:eastAsia="Calibri" w:hAnsi="Calibri" w:cs="Calibri"/>
          <w:sz w:val="22"/>
          <w:szCs w:val="22"/>
          <w:lang w:val="fr-FR"/>
        </w:rPr>
        <w:t>nombreux</w:t>
      </w:r>
      <w:r w:rsidRPr="000C4E9B">
        <w:rPr>
          <w:rFonts w:ascii="Calibri" w:eastAsia="Calibri" w:hAnsi="Calibri" w:cs="Calibri"/>
          <w:sz w:val="22"/>
          <w:szCs w:val="22"/>
          <w:lang w:val="fr-FR"/>
        </w:rPr>
        <w:t xml:space="preserve"> responsables de la Division du syndrome d'immunodéficience acquise (Division of </w:t>
      </w:r>
      <w:proofErr w:type="spellStart"/>
      <w:r w:rsidRPr="000C4E9B">
        <w:rPr>
          <w:rFonts w:ascii="Calibri" w:eastAsia="Calibri" w:hAnsi="Calibri" w:cs="Calibri"/>
          <w:sz w:val="22"/>
          <w:szCs w:val="22"/>
          <w:lang w:val="fr-FR"/>
        </w:rPr>
        <w:t>Acquired</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Immunodeficiency</w:t>
      </w:r>
      <w:proofErr w:type="spellEnd"/>
      <w:r w:rsidRPr="000C4E9B">
        <w:rPr>
          <w:rFonts w:ascii="Calibri" w:eastAsia="Calibri" w:hAnsi="Calibri" w:cs="Calibri"/>
          <w:sz w:val="22"/>
          <w:szCs w:val="22"/>
          <w:lang w:val="fr-FR"/>
        </w:rPr>
        <w:t xml:space="preserve"> Syndrome, DAIDS), y compris de l'</w:t>
      </w:r>
      <w:r w:rsidR="006D3FF5">
        <w:rPr>
          <w:rFonts w:ascii="Calibri" w:eastAsia="Calibri" w:hAnsi="Calibri" w:cs="Calibri"/>
          <w:sz w:val="22"/>
          <w:szCs w:val="22"/>
          <w:lang w:val="fr-FR"/>
        </w:rPr>
        <w:t>office du directeur (</w:t>
      </w:r>
      <w:r w:rsidRPr="000C4E9B">
        <w:rPr>
          <w:rFonts w:ascii="Calibri" w:eastAsia="Calibri" w:hAnsi="Calibri" w:cs="Calibri"/>
          <w:sz w:val="22"/>
          <w:szCs w:val="22"/>
          <w:lang w:val="fr-FR"/>
        </w:rPr>
        <w:t xml:space="preserve">Office of the </w:t>
      </w:r>
      <w:proofErr w:type="spellStart"/>
      <w:r w:rsidRPr="000C4E9B">
        <w:rPr>
          <w:rFonts w:ascii="Calibri" w:eastAsia="Calibri" w:hAnsi="Calibri" w:cs="Calibri"/>
          <w:sz w:val="22"/>
          <w:szCs w:val="22"/>
          <w:lang w:val="fr-FR"/>
        </w:rPr>
        <w:t>Director</w:t>
      </w:r>
      <w:proofErr w:type="spellEnd"/>
      <w:r w:rsidR="006D3FF5">
        <w:rPr>
          <w:rFonts w:ascii="Calibri" w:eastAsia="Calibri" w:hAnsi="Calibri" w:cs="Calibri"/>
          <w:sz w:val="22"/>
          <w:szCs w:val="22"/>
          <w:lang w:val="fr-FR"/>
        </w:rPr>
        <w:t>)</w:t>
      </w:r>
      <w:r w:rsidRPr="000C4E9B">
        <w:rPr>
          <w:rFonts w:ascii="Calibri" w:eastAsia="Calibri" w:hAnsi="Calibri" w:cs="Calibri"/>
          <w:sz w:val="22"/>
          <w:szCs w:val="22"/>
          <w:lang w:val="fr-FR"/>
        </w:rPr>
        <w:t xml:space="preserve">, ont également été </w:t>
      </w:r>
      <w:r w:rsidRPr="00BC4C0F">
        <w:rPr>
          <w:rFonts w:ascii="Calibri" w:eastAsia="Calibri" w:hAnsi="Calibri" w:cs="Calibri"/>
          <w:sz w:val="22"/>
          <w:szCs w:val="22"/>
          <w:lang w:val="fr-FR"/>
        </w:rPr>
        <w:t>consultés</w:t>
      </w:r>
      <w:r w:rsidRPr="000C4E9B">
        <w:rPr>
          <w:rFonts w:ascii="Calibri" w:eastAsia="Calibri" w:hAnsi="Calibri" w:cs="Calibri"/>
          <w:sz w:val="22"/>
          <w:szCs w:val="22"/>
          <w:lang w:val="fr-FR"/>
        </w:rPr>
        <w:t>.</w:t>
      </w:r>
    </w:p>
    <w:p w14:paraId="5213A8DF" w14:textId="77777777" w:rsidR="00EE0FC3" w:rsidRPr="00D15745" w:rsidRDefault="00EE0FC3" w:rsidP="00417223">
      <w:pPr>
        <w:pStyle w:val="Default"/>
        <w:spacing w:after="120" w:line="276" w:lineRule="auto"/>
        <w:rPr>
          <w:rFonts w:asciiTheme="minorHAnsi" w:hAnsiTheme="minorHAnsi" w:cstheme="minorHAnsi"/>
          <w:sz w:val="22"/>
          <w:szCs w:val="22"/>
          <w:lang w:val="fr-FR"/>
        </w:rPr>
      </w:pPr>
    </w:p>
    <w:p w14:paraId="51D5828D" w14:textId="14833544" w:rsidR="00AA4320" w:rsidRPr="000C4E9B" w:rsidRDefault="007350F8" w:rsidP="00417223">
      <w:pPr>
        <w:pStyle w:val="Default"/>
        <w:spacing w:after="120" w:line="276" w:lineRule="auto"/>
        <w:rPr>
          <w:rFonts w:asciiTheme="minorHAnsi" w:hAnsiTheme="minorHAnsi" w:cstheme="minorHAnsi"/>
          <w:sz w:val="22"/>
          <w:szCs w:val="22"/>
          <w:lang w:val="fr-FR"/>
        </w:rPr>
      </w:pPr>
      <w:r w:rsidRPr="000C4E9B">
        <w:rPr>
          <w:rFonts w:ascii="Calibri" w:eastAsia="Calibri" w:hAnsi="Calibri" w:cs="Calibri"/>
          <w:sz w:val="22"/>
          <w:szCs w:val="22"/>
          <w:lang w:val="fr-FR"/>
        </w:rPr>
        <w:t xml:space="preserve">Dans une perspective non fédérale, le WOCRB a facilité la révision de ce document par un groupe diversifié de membres de la communauté au service des </w:t>
      </w:r>
      <w:hyperlink r:id="rId14" w:history="1">
        <w:r w:rsidRPr="000C4E9B">
          <w:rPr>
            <w:rFonts w:ascii="Calibri" w:eastAsia="Calibri" w:hAnsi="Calibri" w:cs="Calibri"/>
            <w:color w:val="0563C1"/>
            <w:sz w:val="22"/>
            <w:szCs w:val="22"/>
            <w:u w:val="single"/>
            <w:lang w:val="fr-FR"/>
          </w:rPr>
          <w:t>réseaux d'essais cliniques sur le VIH/SIDA</w:t>
        </w:r>
      </w:hyperlink>
      <w:r w:rsidRPr="000C4E9B">
        <w:rPr>
          <w:rFonts w:ascii="Calibri" w:eastAsia="Calibri" w:hAnsi="Calibri" w:cs="Calibri"/>
          <w:color w:val="2E74B5"/>
          <w:sz w:val="22"/>
          <w:szCs w:val="22"/>
          <w:lang w:val="fr-FR"/>
        </w:rPr>
        <w:t xml:space="preserve"> </w:t>
      </w:r>
      <w:r w:rsidRPr="000C4E9B">
        <w:rPr>
          <w:rFonts w:ascii="Calibri" w:eastAsia="Calibri" w:hAnsi="Calibri" w:cs="Calibri"/>
          <w:sz w:val="22"/>
          <w:szCs w:val="22"/>
          <w:lang w:val="fr-FR"/>
        </w:rPr>
        <w:t xml:space="preserve">financés par les NIH dans le cadre de diverses fonctions de liaison communautaire et de conseil. Ce groupe était composé de </w:t>
      </w:r>
      <w:r w:rsidRPr="00BC4C0F">
        <w:rPr>
          <w:rFonts w:ascii="Calibri" w:eastAsia="Calibri" w:hAnsi="Calibri" w:cs="Calibri"/>
          <w:sz w:val="22"/>
          <w:szCs w:val="22"/>
          <w:lang w:val="fr-FR"/>
        </w:rPr>
        <w:t>défenseurs</w:t>
      </w:r>
      <w:r w:rsidRPr="000C4E9B">
        <w:rPr>
          <w:rFonts w:ascii="Calibri" w:eastAsia="Calibri" w:hAnsi="Calibri" w:cs="Calibri"/>
          <w:sz w:val="22"/>
          <w:szCs w:val="22"/>
          <w:lang w:val="fr-FR"/>
        </w:rPr>
        <w:t xml:space="preserve"> de la communauté qui sont ou ont été impliqués dans les conseils consultatifs de la communauté mondiale des réseaux, de </w:t>
      </w:r>
      <w:hyperlink r:id="rId15" w:history="1">
        <w:r w:rsidRPr="000C4E9B">
          <w:rPr>
            <w:rFonts w:ascii="Calibri" w:eastAsia="Calibri" w:hAnsi="Calibri" w:cs="Calibri"/>
            <w:color w:val="0563C1"/>
            <w:sz w:val="22"/>
            <w:szCs w:val="22"/>
            <w:u w:val="single"/>
            <w:lang w:val="fr-FR"/>
          </w:rPr>
          <w:t>partenaires communautaires</w:t>
        </w:r>
      </w:hyperlink>
      <w:r w:rsidRPr="000C4E9B">
        <w:rPr>
          <w:rFonts w:ascii="Calibri" w:eastAsia="Calibri" w:hAnsi="Calibri" w:cs="Calibri"/>
          <w:sz w:val="22"/>
          <w:szCs w:val="22"/>
          <w:lang w:val="fr-FR"/>
        </w:rPr>
        <w:t>,</w:t>
      </w:r>
      <w:r w:rsidR="0094638C" w:rsidRPr="000C4E9B">
        <w:rPr>
          <w:rFonts w:ascii="Calibri" w:eastAsia="Calibri" w:hAnsi="Calibri" w:cs="Calibri"/>
          <w:sz w:val="22"/>
          <w:szCs w:val="22"/>
          <w:lang w:val="fr-FR"/>
        </w:rPr>
        <w:t xml:space="preserve"> du</w:t>
      </w:r>
      <w:r w:rsidRPr="000C4E9B">
        <w:rPr>
          <w:rFonts w:ascii="Calibri" w:eastAsia="Calibri" w:hAnsi="Calibri" w:cs="Calibri"/>
          <w:sz w:val="22"/>
          <w:szCs w:val="22"/>
          <w:lang w:val="fr-FR"/>
        </w:rPr>
        <w:t xml:space="preserve"> </w:t>
      </w:r>
      <w:hyperlink r:id="rId16" w:history="1">
        <w:r w:rsidR="0094638C" w:rsidRPr="000C4E9B">
          <w:rPr>
            <w:rFonts w:ascii="Calibri" w:eastAsia="Calibri" w:hAnsi="Calibri" w:cs="Calibri"/>
            <w:color w:val="0563C1"/>
            <w:sz w:val="22"/>
            <w:szCs w:val="22"/>
            <w:u w:val="single"/>
            <w:lang w:val="fr-FR"/>
          </w:rPr>
          <w:t xml:space="preserve">Groupe de </w:t>
        </w:r>
        <w:r w:rsidR="0094638C" w:rsidRPr="00BC4C0F">
          <w:rPr>
            <w:rFonts w:ascii="Calibri" w:eastAsia="Calibri" w:hAnsi="Calibri" w:cs="Calibri"/>
            <w:color w:val="0563C1"/>
            <w:sz w:val="22"/>
            <w:szCs w:val="22"/>
            <w:u w:val="single"/>
            <w:lang w:val="fr-FR"/>
          </w:rPr>
          <w:t>Conseillers</w:t>
        </w:r>
        <w:r w:rsidR="0094638C" w:rsidRPr="000C4E9B">
          <w:rPr>
            <w:rFonts w:ascii="Calibri" w:eastAsia="Calibri" w:hAnsi="Calibri" w:cs="Calibri"/>
            <w:color w:val="0563C1"/>
            <w:sz w:val="22"/>
            <w:szCs w:val="22"/>
            <w:u w:val="single"/>
            <w:lang w:val="fr-FR"/>
          </w:rPr>
          <w:t xml:space="preserve"> en recherche communautaire</w:t>
        </w:r>
      </w:hyperlink>
      <w:r w:rsidR="0094638C" w:rsidRPr="000C4E9B">
        <w:rPr>
          <w:rFonts w:ascii="Calibri" w:eastAsia="Calibri" w:hAnsi="Calibri" w:cs="Calibri"/>
          <w:sz w:val="22"/>
          <w:szCs w:val="22"/>
          <w:lang w:val="fr-FR"/>
        </w:rPr>
        <w:t xml:space="preserve"> du </w:t>
      </w:r>
      <w:proofErr w:type="spellStart"/>
      <w:r w:rsidR="0094638C" w:rsidRPr="000C4E9B">
        <w:rPr>
          <w:rFonts w:ascii="Calibri" w:eastAsia="Calibri" w:hAnsi="Calibri" w:cs="Calibri"/>
          <w:sz w:val="22"/>
          <w:szCs w:val="22"/>
          <w:lang w:val="fr-FR"/>
        </w:rPr>
        <w:t>Tuberculosis</w:t>
      </w:r>
      <w:proofErr w:type="spellEnd"/>
      <w:r w:rsidR="0094638C" w:rsidRPr="000C4E9B">
        <w:rPr>
          <w:rFonts w:ascii="Calibri" w:eastAsia="Calibri" w:hAnsi="Calibri" w:cs="Calibri"/>
          <w:sz w:val="22"/>
          <w:szCs w:val="22"/>
          <w:lang w:val="fr-FR"/>
        </w:rPr>
        <w:t xml:space="preserve"> Trials Consortium,</w:t>
      </w:r>
      <w:r w:rsidRPr="000C4E9B">
        <w:rPr>
          <w:rFonts w:ascii="Calibri" w:eastAsia="Calibri" w:hAnsi="Calibri" w:cs="Calibri"/>
          <w:sz w:val="22"/>
          <w:szCs w:val="22"/>
          <w:lang w:val="fr-FR"/>
        </w:rPr>
        <w:t xml:space="preserve"> du </w:t>
      </w:r>
      <w:hyperlink r:id="rId17" w:history="1">
        <w:r w:rsidR="0094638C" w:rsidRPr="000C4E9B">
          <w:rPr>
            <w:rFonts w:ascii="Calibri" w:eastAsia="Calibri" w:hAnsi="Calibri" w:cs="Calibri"/>
            <w:color w:val="0563C1"/>
            <w:sz w:val="22"/>
            <w:szCs w:val="22"/>
            <w:u w:val="single"/>
            <w:lang w:val="fr-FR"/>
          </w:rPr>
          <w:t>Comité des populations sous-représentées</w:t>
        </w:r>
      </w:hyperlink>
      <w:r w:rsidRPr="000C4E9B">
        <w:rPr>
          <w:rFonts w:ascii="Calibri" w:eastAsia="Calibri" w:hAnsi="Calibri" w:cs="Calibri"/>
          <w:sz w:val="22"/>
          <w:szCs w:val="22"/>
          <w:lang w:val="fr-FR"/>
        </w:rPr>
        <w:t xml:space="preserve"> du AIDS </w:t>
      </w:r>
      <w:proofErr w:type="spellStart"/>
      <w:r w:rsidRPr="000C4E9B">
        <w:rPr>
          <w:rFonts w:ascii="Calibri" w:eastAsia="Calibri" w:hAnsi="Calibri" w:cs="Calibri"/>
          <w:sz w:val="22"/>
          <w:szCs w:val="22"/>
          <w:lang w:val="fr-FR"/>
        </w:rPr>
        <w:t>Clinical</w:t>
      </w:r>
      <w:proofErr w:type="spellEnd"/>
      <w:r w:rsidRPr="000C4E9B">
        <w:rPr>
          <w:rFonts w:ascii="Calibri" w:eastAsia="Calibri" w:hAnsi="Calibri" w:cs="Calibri"/>
          <w:sz w:val="22"/>
          <w:szCs w:val="22"/>
          <w:lang w:val="fr-FR"/>
        </w:rPr>
        <w:t xml:space="preserve"> Trials Group, du </w:t>
      </w:r>
      <w:hyperlink r:id="rId18" w:history="1">
        <w:r w:rsidR="0094638C" w:rsidRPr="000C4E9B">
          <w:rPr>
            <w:rFonts w:ascii="Calibri" w:eastAsia="Calibri" w:hAnsi="Calibri" w:cs="Calibri"/>
            <w:color w:val="0563C1"/>
            <w:sz w:val="22"/>
            <w:szCs w:val="22"/>
            <w:u w:val="single"/>
            <w:lang w:val="fr-FR"/>
          </w:rPr>
          <w:t>Comité scientifique inter-réseaux sur la santé des femmes</w:t>
        </w:r>
      </w:hyperlink>
      <w:r w:rsidRPr="000C4E9B">
        <w:rPr>
          <w:rFonts w:ascii="Calibri" w:eastAsia="Calibri" w:hAnsi="Calibri" w:cs="Calibri"/>
          <w:sz w:val="22"/>
          <w:szCs w:val="22"/>
          <w:lang w:val="fr-FR"/>
        </w:rPr>
        <w:t xml:space="preserve">, du Cross-Network </w:t>
      </w:r>
      <w:proofErr w:type="spellStart"/>
      <w:r w:rsidRPr="000C4E9B">
        <w:rPr>
          <w:rFonts w:ascii="Calibri" w:eastAsia="Calibri" w:hAnsi="Calibri" w:cs="Calibri"/>
          <w:sz w:val="22"/>
          <w:szCs w:val="22"/>
          <w:lang w:val="fr-FR"/>
        </w:rPr>
        <w:t>Transgender</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Working</w:t>
      </w:r>
      <w:proofErr w:type="spellEnd"/>
      <w:r w:rsidRPr="000C4E9B">
        <w:rPr>
          <w:rFonts w:ascii="Calibri" w:eastAsia="Calibri" w:hAnsi="Calibri" w:cs="Calibri"/>
          <w:sz w:val="22"/>
          <w:szCs w:val="22"/>
          <w:lang w:val="fr-FR"/>
        </w:rPr>
        <w:t xml:space="preserve"> Group, du </w:t>
      </w:r>
      <w:hyperlink r:id="rId19" w:history="1">
        <w:r w:rsidR="0094638C" w:rsidRPr="000C4E9B">
          <w:rPr>
            <w:rFonts w:ascii="Calibri" w:eastAsia="Calibri" w:hAnsi="Calibri" w:cs="Calibri"/>
            <w:color w:val="0563C1"/>
            <w:sz w:val="22"/>
            <w:szCs w:val="22"/>
            <w:u w:val="single"/>
            <w:lang w:val="fr-FR"/>
          </w:rPr>
          <w:t xml:space="preserve">Groupe de travail sur le projet </w:t>
        </w:r>
        <w:proofErr w:type="spellStart"/>
        <w:r w:rsidR="0094638C" w:rsidRPr="000C4E9B">
          <w:rPr>
            <w:rFonts w:ascii="Calibri" w:eastAsia="Calibri" w:hAnsi="Calibri" w:cs="Calibri"/>
            <w:color w:val="0563C1"/>
            <w:sz w:val="22"/>
            <w:szCs w:val="22"/>
            <w:u w:val="single"/>
            <w:lang w:val="fr-FR"/>
          </w:rPr>
          <w:t>Legacy</w:t>
        </w:r>
        <w:proofErr w:type="spellEnd"/>
      </w:hyperlink>
      <w:r w:rsidRPr="000C4E9B">
        <w:rPr>
          <w:rFonts w:ascii="Calibri" w:eastAsia="Calibri" w:hAnsi="Calibri" w:cs="Calibri"/>
          <w:color w:val="2E74B5"/>
          <w:sz w:val="22"/>
          <w:szCs w:val="22"/>
          <w:lang w:val="fr-FR"/>
        </w:rPr>
        <w:t xml:space="preserve"> </w:t>
      </w:r>
      <w:r w:rsidRPr="000C4E9B">
        <w:rPr>
          <w:rFonts w:ascii="Calibri" w:eastAsia="Calibri" w:hAnsi="Calibri" w:cs="Calibri"/>
          <w:sz w:val="22"/>
          <w:szCs w:val="22"/>
          <w:lang w:val="fr-FR"/>
        </w:rPr>
        <w:t xml:space="preserve">et du </w:t>
      </w:r>
      <w:hyperlink r:id="rId20" w:history="1">
        <w:r w:rsidR="0094638C" w:rsidRPr="000C4E9B">
          <w:rPr>
            <w:rFonts w:ascii="Calibri" w:eastAsia="Calibri" w:hAnsi="Calibri" w:cs="Calibri"/>
            <w:color w:val="0563C1"/>
            <w:sz w:val="22"/>
            <w:szCs w:val="22"/>
            <w:u w:val="single"/>
            <w:lang w:val="fr-FR"/>
          </w:rPr>
          <w:t>Groupe de recherche sur le VIH chez les femmes</w:t>
        </w:r>
      </w:hyperlink>
      <w:r w:rsidRPr="000C4E9B">
        <w:rPr>
          <w:rFonts w:ascii="Calibri" w:eastAsia="Calibri" w:hAnsi="Calibri" w:cs="Calibri"/>
          <w:sz w:val="22"/>
          <w:szCs w:val="22"/>
          <w:lang w:val="fr-FR"/>
        </w:rPr>
        <w:t xml:space="preserve"> du </w:t>
      </w:r>
      <w:hyperlink r:id="rId21" w:history="1">
        <w:r w:rsidR="0094638C" w:rsidRPr="000C4E9B">
          <w:rPr>
            <w:rFonts w:ascii="Calibri" w:eastAsia="Calibri" w:hAnsi="Calibri" w:cs="Calibri"/>
            <w:color w:val="0563C1"/>
            <w:sz w:val="22"/>
            <w:szCs w:val="22"/>
            <w:u w:val="single"/>
            <w:lang w:val="fr-FR"/>
          </w:rPr>
          <w:t>Bureau de coordination du réseau VIH/SIDA</w:t>
        </w:r>
      </w:hyperlink>
      <w:r w:rsidRPr="000C4E9B">
        <w:rPr>
          <w:rFonts w:ascii="Calibri" w:eastAsia="Calibri" w:hAnsi="Calibri" w:cs="Calibri"/>
          <w:color w:val="2E74B5"/>
          <w:sz w:val="22"/>
          <w:szCs w:val="22"/>
          <w:lang w:val="fr-FR"/>
        </w:rPr>
        <w:t xml:space="preserve"> </w:t>
      </w:r>
      <w:r w:rsidRPr="000C4E9B">
        <w:rPr>
          <w:rFonts w:ascii="Calibri" w:eastAsia="Calibri" w:hAnsi="Calibri" w:cs="Calibri"/>
          <w:sz w:val="22"/>
          <w:szCs w:val="22"/>
          <w:lang w:val="fr-FR"/>
        </w:rPr>
        <w:t xml:space="preserve">(HANC). Nous exprimons notre sincère gratitude à tous les </w:t>
      </w:r>
      <w:r w:rsidRPr="00BC4C0F">
        <w:rPr>
          <w:rFonts w:ascii="Calibri" w:eastAsia="Calibri" w:hAnsi="Calibri" w:cs="Calibri"/>
          <w:sz w:val="22"/>
          <w:szCs w:val="22"/>
          <w:lang w:val="fr-FR"/>
        </w:rPr>
        <w:t>réviseurs</w:t>
      </w:r>
      <w:r w:rsidRPr="000C4E9B">
        <w:rPr>
          <w:rFonts w:ascii="Calibri" w:eastAsia="Calibri" w:hAnsi="Calibri" w:cs="Calibri"/>
          <w:sz w:val="22"/>
          <w:szCs w:val="22"/>
          <w:lang w:val="fr-FR"/>
        </w:rPr>
        <w:t xml:space="preserve"> de la communauté, dont faisaient partie des personnes vivant avec le VIH, des personnes appartenant à des communautés touchées de manière disproportionnée par le VIH, des </w:t>
      </w:r>
      <w:r w:rsidRPr="00BC4C0F">
        <w:rPr>
          <w:rFonts w:ascii="Calibri" w:eastAsia="Calibri" w:hAnsi="Calibri" w:cs="Calibri"/>
          <w:sz w:val="22"/>
          <w:szCs w:val="22"/>
          <w:lang w:val="fr-FR"/>
        </w:rPr>
        <w:t>citoyens</w:t>
      </w:r>
      <w:r w:rsidRPr="000C4E9B">
        <w:rPr>
          <w:rFonts w:ascii="Calibri" w:eastAsia="Calibri" w:hAnsi="Calibri" w:cs="Calibri"/>
          <w:sz w:val="22"/>
          <w:szCs w:val="22"/>
          <w:lang w:val="fr-FR"/>
        </w:rPr>
        <w:t xml:space="preserve"> du Sud, des personnes de couleur, des femmes cisgenres, des personnes transgenres, des personnes de la communauté LGBT</w:t>
      </w:r>
      <w:r w:rsidR="00BC4C0F">
        <w:rPr>
          <w:rFonts w:ascii="Calibri" w:eastAsia="Calibri" w:hAnsi="Calibri" w:cs="Calibri"/>
          <w:sz w:val="22"/>
          <w:szCs w:val="22"/>
          <w:lang w:val="fr-FR"/>
        </w:rPr>
        <w:t>I</w:t>
      </w:r>
      <w:r w:rsidRPr="000C4E9B">
        <w:rPr>
          <w:rFonts w:ascii="Calibri" w:eastAsia="Calibri" w:hAnsi="Calibri" w:cs="Calibri"/>
          <w:sz w:val="22"/>
          <w:szCs w:val="22"/>
          <w:lang w:val="fr-FR"/>
        </w:rPr>
        <w:t xml:space="preserve">Q, des </w:t>
      </w:r>
      <w:proofErr w:type="spellStart"/>
      <w:r w:rsidRPr="000C4E9B">
        <w:rPr>
          <w:rFonts w:ascii="Calibri" w:eastAsia="Calibri" w:hAnsi="Calibri" w:cs="Calibri"/>
          <w:sz w:val="22"/>
          <w:szCs w:val="22"/>
          <w:lang w:val="fr-FR"/>
        </w:rPr>
        <w:t>travailleur</w:t>
      </w:r>
      <w:r w:rsidR="0001172F">
        <w:rPr>
          <w:rFonts w:ascii="Calibri" w:eastAsia="Calibri" w:hAnsi="Calibri" w:cs="Calibri"/>
          <w:sz w:val="22"/>
          <w:szCs w:val="22"/>
          <w:lang w:val="fr-FR"/>
        </w:rPr>
        <w:t>s·</w:t>
      </w:r>
      <w:r w:rsidR="006D3FF5">
        <w:rPr>
          <w:rFonts w:ascii="Calibri" w:eastAsia="Calibri" w:hAnsi="Calibri" w:cs="Calibri"/>
          <w:sz w:val="22"/>
          <w:szCs w:val="22"/>
          <w:lang w:val="fr-FR"/>
        </w:rPr>
        <w:t>euse</w:t>
      </w:r>
      <w:r w:rsidRPr="000C4E9B">
        <w:rPr>
          <w:rFonts w:ascii="Calibri" w:eastAsia="Calibri" w:hAnsi="Calibri" w:cs="Calibri"/>
          <w:sz w:val="22"/>
          <w:szCs w:val="22"/>
          <w:lang w:val="fr-FR"/>
        </w:rPr>
        <w:t>s</w:t>
      </w:r>
      <w:proofErr w:type="spellEnd"/>
      <w:r w:rsidRPr="000C4E9B">
        <w:rPr>
          <w:rFonts w:ascii="Calibri" w:eastAsia="Calibri" w:hAnsi="Calibri" w:cs="Calibri"/>
          <w:sz w:val="22"/>
          <w:szCs w:val="22"/>
          <w:lang w:val="fr-FR"/>
        </w:rPr>
        <w:t xml:space="preserve"> du sexe, des personnes souffrant de troubles liés à la consommation de substances, des personnes âgées et des jeunes, entre autres.</w:t>
      </w:r>
    </w:p>
    <w:p w14:paraId="06FE47DF" w14:textId="35479EBA" w:rsidR="00AA4320" w:rsidRPr="000C4E9B" w:rsidRDefault="007350F8" w:rsidP="00417223">
      <w:pPr>
        <w:pStyle w:val="Default"/>
        <w:spacing w:after="120" w:line="276" w:lineRule="auto"/>
        <w:rPr>
          <w:rFonts w:asciiTheme="minorHAnsi" w:hAnsiTheme="minorHAnsi" w:cstheme="minorHAnsi"/>
          <w:sz w:val="22"/>
          <w:szCs w:val="22"/>
          <w:lang w:val="fr-FR"/>
        </w:rPr>
      </w:pPr>
      <w:r w:rsidRPr="000C4E9B">
        <w:rPr>
          <w:rFonts w:ascii="Calibri" w:eastAsia="Calibri" w:hAnsi="Calibri" w:cs="Calibri"/>
          <w:sz w:val="22"/>
          <w:szCs w:val="22"/>
          <w:lang w:val="fr-FR"/>
        </w:rPr>
        <w:t xml:space="preserve">Diverses sources ont été consultées pour la rédaction de ce guide linguistique. Notamment, le </w:t>
      </w:r>
      <w:hyperlink r:id="rId22" w:anchor="Stigma-Language-Guide" w:history="1">
        <w:r w:rsidR="0094638C" w:rsidRPr="000C4E9B">
          <w:rPr>
            <w:rFonts w:ascii="Calibri" w:eastAsia="Calibri" w:hAnsi="Calibri" w:cs="Calibri"/>
            <w:color w:val="0563C1"/>
            <w:sz w:val="22"/>
            <w:szCs w:val="22"/>
            <w:u w:val="single"/>
            <w:lang w:val="fr-FR"/>
          </w:rPr>
          <w:t>Guide linguistique sur la stigmatisation liée au VIH</w:t>
        </w:r>
      </w:hyperlink>
      <w:r w:rsidRPr="000C4E9B">
        <w:rPr>
          <w:rFonts w:ascii="Calibri" w:eastAsia="Calibri" w:hAnsi="Calibri" w:cs="Calibri"/>
          <w:sz w:val="22"/>
          <w:szCs w:val="22"/>
          <w:lang w:val="fr-FR"/>
        </w:rPr>
        <w:t xml:space="preserve"> des Centres de contrôle et de prévention des maladies</w:t>
      </w:r>
      <w:r w:rsidRPr="000C4E9B">
        <w:rPr>
          <w:rFonts w:ascii="Calibri" w:eastAsia="Calibri" w:hAnsi="Calibri" w:cs="Calibri"/>
          <w:color w:val="2E74B5"/>
          <w:sz w:val="22"/>
          <w:szCs w:val="22"/>
          <w:lang w:val="fr-FR"/>
        </w:rPr>
        <w:t xml:space="preserve"> </w:t>
      </w:r>
      <w:r w:rsidRPr="000C4E9B">
        <w:rPr>
          <w:rFonts w:ascii="Calibri" w:eastAsia="Calibri" w:hAnsi="Calibri" w:cs="Calibri"/>
          <w:sz w:val="22"/>
          <w:szCs w:val="22"/>
          <w:lang w:val="fr-FR"/>
        </w:rPr>
        <w:t>et "</w:t>
      </w:r>
      <w:proofErr w:type="spellStart"/>
      <w:r w:rsidRPr="000C4E9B">
        <w:rPr>
          <w:rFonts w:ascii="Calibri" w:eastAsia="Calibri" w:hAnsi="Calibri" w:cs="Calibri"/>
          <w:sz w:val="22"/>
          <w:szCs w:val="22"/>
          <w:lang w:val="fr-FR"/>
        </w:rPr>
        <w:t>Why</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Language</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Matters</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Facing</w:t>
      </w:r>
      <w:proofErr w:type="spellEnd"/>
      <w:r w:rsidRPr="000C4E9B">
        <w:rPr>
          <w:rFonts w:ascii="Calibri" w:eastAsia="Calibri" w:hAnsi="Calibri" w:cs="Calibri"/>
          <w:sz w:val="22"/>
          <w:szCs w:val="22"/>
          <w:lang w:val="fr-FR"/>
        </w:rPr>
        <w:t xml:space="preserve"> HIV Stigma in Our </w:t>
      </w:r>
      <w:proofErr w:type="spellStart"/>
      <w:r w:rsidRPr="000C4E9B">
        <w:rPr>
          <w:rFonts w:ascii="Calibri" w:eastAsia="Calibri" w:hAnsi="Calibri" w:cs="Calibri"/>
          <w:sz w:val="22"/>
          <w:szCs w:val="22"/>
          <w:lang w:val="fr-FR"/>
        </w:rPr>
        <w:t>Own</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Words</w:t>
      </w:r>
      <w:proofErr w:type="spellEnd"/>
      <w:r w:rsidRPr="000C4E9B">
        <w:rPr>
          <w:rFonts w:ascii="Calibri" w:eastAsia="Calibri" w:hAnsi="Calibri" w:cs="Calibri"/>
          <w:sz w:val="22"/>
          <w:szCs w:val="22"/>
          <w:lang w:val="fr-FR"/>
        </w:rPr>
        <w:t xml:space="preserve">” de </w:t>
      </w:r>
      <w:hyperlink r:id="rId23" w:history="1">
        <w:r w:rsidRPr="000C4E9B">
          <w:rPr>
            <w:rFonts w:ascii="Calibri" w:eastAsia="Calibri" w:hAnsi="Calibri" w:cs="Calibri"/>
            <w:color w:val="0563C1"/>
            <w:sz w:val="22"/>
            <w:szCs w:val="22"/>
            <w:u w:val="single"/>
            <w:lang w:val="fr-FR"/>
          </w:rPr>
          <w:t>Vickie Lynn</w:t>
        </w:r>
      </w:hyperlink>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Ph.D</w:t>
      </w:r>
      <w:proofErr w:type="spellEnd"/>
      <w:r w:rsidRPr="000C4E9B">
        <w:rPr>
          <w:rFonts w:ascii="Calibri" w:eastAsia="Calibri" w:hAnsi="Calibri" w:cs="Calibri"/>
          <w:sz w:val="22"/>
          <w:szCs w:val="22"/>
          <w:lang w:val="fr-FR"/>
        </w:rPr>
        <w:t xml:space="preserve">., MSW, MPH, et d’autres membres du </w:t>
      </w:r>
      <w:hyperlink r:id="rId24" w:history="1">
        <w:r w:rsidRPr="000C4E9B">
          <w:rPr>
            <w:rFonts w:ascii="Calibri" w:eastAsia="Calibri" w:hAnsi="Calibri" w:cs="Calibri"/>
            <w:color w:val="0563C1"/>
            <w:sz w:val="22"/>
            <w:szCs w:val="22"/>
            <w:u w:val="single"/>
            <w:lang w:val="fr-FR"/>
          </w:rPr>
          <w:t xml:space="preserve">projet </w:t>
        </w:r>
        <w:proofErr w:type="spellStart"/>
        <w:r w:rsidRPr="000C4E9B">
          <w:rPr>
            <w:rFonts w:ascii="Calibri" w:eastAsia="Calibri" w:hAnsi="Calibri" w:cs="Calibri"/>
            <w:color w:val="0563C1"/>
            <w:sz w:val="22"/>
            <w:szCs w:val="22"/>
            <w:u w:val="single"/>
            <w:lang w:val="fr-FR"/>
          </w:rPr>
          <w:t>Well</w:t>
        </w:r>
        <w:proofErr w:type="spellEnd"/>
      </w:hyperlink>
      <w:r w:rsidRPr="000C4E9B">
        <w:rPr>
          <w:rFonts w:ascii="Calibri" w:eastAsia="Calibri" w:hAnsi="Calibri" w:cs="Calibri"/>
          <w:sz w:val="22"/>
          <w:szCs w:val="22"/>
          <w:lang w:val="fr-FR"/>
        </w:rPr>
        <w:t xml:space="preserve"> ont constitué une ressource extrêmement précieuse sur le langage stigmatisant autour du VIH. Les documents de la </w:t>
      </w:r>
      <w:hyperlink r:id="rId25" w:history="1">
        <w:r w:rsidRPr="000C4E9B">
          <w:rPr>
            <w:rFonts w:ascii="Calibri" w:eastAsia="Calibri" w:hAnsi="Calibri" w:cs="Calibri"/>
            <w:color w:val="0563C1"/>
            <w:sz w:val="22"/>
            <w:szCs w:val="22"/>
            <w:u w:val="single"/>
            <w:lang w:val="fr-FR"/>
          </w:rPr>
          <w:t>campagne #</w:t>
        </w:r>
        <w:proofErr w:type="spellStart"/>
        <w:r w:rsidRPr="000C4E9B">
          <w:rPr>
            <w:rFonts w:ascii="Calibri" w:eastAsia="Calibri" w:hAnsi="Calibri" w:cs="Calibri"/>
            <w:color w:val="0563C1"/>
            <w:sz w:val="22"/>
            <w:szCs w:val="22"/>
            <w:u w:val="single"/>
            <w:lang w:val="fr-FR"/>
          </w:rPr>
          <w:t>LanguageMatters</w:t>
        </w:r>
        <w:proofErr w:type="spellEnd"/>
      </w:hyperlink>
      <w:r w:rsidRPr="000C4E9B">
        <w:rPr>
          <w:rFonts w:ascii="Calibri" w:eastAsia="Calibri" w:hAnsi="Calibri" w:cs="Calibri"/>
          <w:sz w:val="22"/>
          <w:szCs w:val="22"/>
          <w:lang w:val="fr-FR"/>
        </w:rPr>
        <w:t xml:space="preserve"> en ligne HIVE de l'Université de Californie San Francisco ont notamment alimenté le chapitre « Terminologie de base sur le VIH » de ce guide.</w:t>
      </w:r>
    </w:p>
    <w:p w14:paraId="6417F806" w14:textId="1BDFC994" w:rsidR="00AA4320" w:rsidRPr="000C4E9B" w:rsidRDefault="007350F8" w:rsidP="00417223">
      <w:pPr>
        <w:pStyle w:val="Default"/>
        <w:spacing w:after="120" w:line="276" w:lineRule="auto"/>
        <w:rPr>
          <w:rFonts w:asciiTheme="minorHAnsi" w:hAnsiTheme="minorHAnsi" w:cstheme="minorHAnsi"/>
          <w:sz w:val="22"/>
          <w:szCs w:val="22"/>
          <w:lang w:val="fr-FR"/>
        </w:rPr>
      </w:pPr>
      <w:r w:rsidRPr="000C4E9B">
        <w:rPr>
          <w:rFonts w:ascii="Calibri" w:eastAsia="Calibri" w:hAnsi="Calibri" w:cs="Calibri"/>
          <w:sz w:val="22"/>
          <w:szCs w:val="22"/>
          <w:lang w:val="fr-FR"/>
        </w:rPr>
        <w:t>En outre, les documents d'orientation et les modules d'apprentissage compilés par le groupe de travail inter-réseaux sur les personnes transgenres de la DAIDS ont servi à élaborer les recommandations linguistiques relatives au sexe et au genre dans le chapitre « Sexe, genre et sexualité » de ce guide. Plus précisément, le document « </w:t>
      </w:r>
      <w:hyperlink r:id="rId26" w:history="1">
        <w:r w:rsidR="0094638C" w:rsidRPr="000C4E9B">
          <w:rPr>
            <w:rFonts w:ascii="Calibri" w:eastAsia="Calibri" w:hAnsi="Calibri" w:cs="Calibri"/>
            <w:color w:val="0563C1"/>
            <w:sz w:val="22"/>
            <w:szCs w:val="22"/>
            <w:u w:val="single"/>
            <w:lang w:val="fr-FR"/>
          </w:rPr>
          <w:t>Guide sur l'utilisation de pratiques de recherche sur le VIH tenant compte du genre</w:t>
        </w:r>
      </w:hyperlink>
      <w:r w:rsidRPr="000C4E9B">
        <w:rPr>
          <w:rFonts w:ascii="Calibri" w:eastAsia="Calibri" w:hAnsi="Calibri" w:cs="Calibri"/>
          <w:sz w:val="22"/>
          <w:szCs w:val="22"/>
          <w:lang w:val="fr-FR"/>
        </w:rPr>
        <w:t> » et son annexe, « Use of Non-</w:t>
      </w:r>
      <w:proofErr w:type="spellStart"/>
      <w:r w:rsidRPr="000C4E9B">
        <w:rPr>
          <w:rFonts w:ascii="Calibri" w:eastAsia="Calibri" w:hAnsi="Calibri" w:cs="Calibri"/>
          <w:sz w:val="22"/>
          <w:szCs w:val="22"/>
          <w:lang w:val="fr-FR"/>
        </w:rPr>
        <w:t>Stigmatizing</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Gender</w:t>
      </w:r>
      <w:proofErr w:type="spellEnd"/>
      <w:r w:rsidRPr="000C4E9B">
        <w:rPr>
          <w:rFonts w:ascii="Calibri" w:eastAsia="Calibri" w:hAnsi="Calibri" w:cs="Calibri"/>
          <w:sz w:val="22"/>
          <w:szCs w:val="22"/>
          <w:lang w:val="fr-FR"/>
        </w:rPr>
        <w:t xml:space="preserve"> Inclusive </w:t>
      </w:r>
      <w:proofErr w:type="spellStart"/>
      <w:r w:rsidRPr="000C4E9B">
        <w:rPr>
          <w:rFonts w:ascii="Calibri" w:eastAsia="Calibri" w:hAnsi="Calibri" w:cs="Calibri"/>
          <w:sz w:val="22"/>
          <w:szCs w:val="22"/>
          <w:lang w:val="fr-FR"/>
        </w:rPr>
        <w:t>Language</w:t>
      </w:r>
      <w:proofErr w:type="spellEnd"/>
      <w:r w:rsidRPr="000C4E9B">
        <w:rPr>
          <w:rFonts w:ascii="Calibri" w:eastAsia="Calibri" w:hAnsi="Calibri" w:cs="Calibri"/>
          <w:sz w:val="22"/>
          <w:szCs w:val="22"/>
          <w:lang w:val="fr-FR"/>
        </w:rPr>
        <w:t xml:space="preserve"> », décrivent les préférences linguistiques reprises dans ce document. Le groupe de travail s'est appuyé sur les points de vue des </w:t>
      </w:r>
      <w:r w:rsidRPr="00BC4C0F">
        <w:rPr>
          <w:rFonts w:ascii="Calibri" w:eastAsia="Calibri" w:hAnsi="Calibri" w:cs="Calibri"/>
          <w:sz w:val="22"/>
          <w:szCs w:val="22"/>
          <w:lang w:val="fr-FR"/>
        </w:rPr>
        <w:t>représentants communautaires</w:t>
      </w:r>
      <w:r w:rsidRPr="000C4E9B">
        <w:rPr>
          <w:rFonts w:ascii="Calibri" w:eastAsia="Calibri" w:hAnsi="Calibri" w:cs="Calibri"/>
          <w:sz w:val="22"/>
          <w:szCs w:val="22"/>
          <w:lang w:val="fr-FR"/>
        </w:rPr>
        <w:t xml:space="preserve"> transgenres. Le </w:t>
      </w:r>
      <w:hyperlink r:id="rId27" w:history="1">
        <w:r w:rsidRPr="000C4E9B">
          <w:rPr>
            <w:rFonts w:ascii="Calibri" w:eastAsia="Calibri" w:hAnsi="Calibri" w:cs="Calibri"/>
            <w:color w:val="0563C1"/>
            <w:sz w:val="22"/>
            <w:szCs w:val="22"/>
            <w:u w:val="single"/>
            <w:lang w:val="fr-FR"/>
          </w:rPr>
          <w:t>Plan stratégique 2019-2023 trans-NIH pour la recherche sur la santé des femmes</w:t>
        </w:r>
      </w:hyperlink>
      <w:r w:rsidRPr="000C4E9B">
        <w:rPr>
          <w:rFonts w:ascii="Calibri" w:eastAsia="Calibri" w:hAnsi="Calibri" w:cs="Calibri"/>
          <w:sz w:val="22"/>
          <w:szCs w:val="22"/>
          <w:lang w:val="fr-FR"/>
        </w:rPr>
        <w:t>, compilé par l'ORWH, a également servi à la rédaction de ce chapitre.</w:t>
      </w:r>
    </w:p>
    <w:p w14:paraId="0692D8FF" w14:textId="77777777" w:rsidR="00AA4320" w:rsidRPr="000C4E9B" w:rsidRDefault="007350F8" w:rsidP="00417223">
      <w:pPr>
        <w:pStyle w:val="Default"/>
        <w:spacing w:after="120" w:line="276" w:lineRule="auto"/>
        <w:rPr>
          <w:rFonts w:asciiTheme="minorHAnsi" w:hAnsiTheme="minorHAnsi" w:cstheme="minorHAnsi"/>
          <w:sz w:val="22"/>
          <w:szCs w:val="22"/>
          <w:lang w:val="fr-FR"/>
        </w:rPr>
      </w:pPr>
      <w:r w:rsidRPr="000C4E9B">
        <w:rPr>
          <w:rFonts w:ascii="Calibri" w:eastAsia="Calibri" w:hAnsi="Calibri" w:cs="Calibri"/>
          <w:sz w:val="22"/>
          <w:szCs w:val="22"/>
          <w:lang w:val="fr-FR"/>
        </w:rPr>
        <w:t xml:space="preserve">Les recommandations linguistiques du chapitre « Consommation de substances » sont basées sur un </w:t>
      </w:r>
      <w:hyperlink r:id="rId28" w:history="1">
        <w:r w:rsidRPr="000C4E9B">
          <w:rPr>
            <w:rFonts w:ascii="Calibri" w:eastAsia="Calibri" w:hAnsi="Calibri" w:cs="Calibri"/>
            <w:color w:val="0563C1"/>
            <w:sz w:val="22"/>
            <w:szCs w:val="22"/>
            <w:u w:val="single"/>
            <w:lang w:val="fr-FR"/>
          </w:rPr>
          <w:t>mémorandum</w:t>
        </w:r>
      </w:hyperlink>
      <w:r w:rsidRPr="000C4E9B">
        <w:rPr>
          <w:rFonts w:ascii="Calibri" w:eastAsia="Calibri" w:hAnsi="Calibri" w:cs="Calibri"/>
          <w:sz w:val="22"/>
          <w:szCs w:val="22"/>
          <w:lang w:val="fr-FR"/>
        </w:rPr>
        <w:t xml:space="preserve"> de 2017 de l'Office of National Drug Control Policy intitulé « </w:t>
      </w:r>
      <w:proofErr w:type="spellStart"/>
      <w:r w:rsidRPr="000C4E9B">
        <w:rPr>
          <w:rFonts w:ascii="Calibri" w:eastAsia="Calibri" w:hAnsi="Calibri" w:cs="Calibri"/>
          <w:sz w:val="22"/>
          <w:szCs w:val="22"/>
          <w:lang w:val="fr-FR"/>
        </w:rPr>
        <w:t>Changing</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Federal</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Terminology</w:t>
      </w:r>
      <w:proofErr w:type="spellEnd"/>
      <w:r w:rsidRPr="000C4E9B">
        <w:rPr>
          <w:rFonts w:ascii="Calibri" w:eastAsia="Calibri" w:hAnsi="Calibri" w:cs="Calibri"/>
          <w:sz w:val="22"/>
          <w:szCs w:val="22"/>
          <w:lang w:val="fr-FR"/>
        </w:rPr>
        <w:t xml:space="preserve"> </w:t>
      </w:r>
      <w:proofErr w:type="spellStart"/>
      <w:r w:rsidRPr="000C4E9B">
        <w:rPr>
          <w:rFonts w:ascii="Calibri" w:eastAsia="Calibri" w:hAnsi="Calibri" w:cs="Calibri"/>
          <w:sz w:val="22"/>
          <w:szCs w:val="22"/>
          <w:lang w:val="fr-FR"/>
        </w:rPr>
        <w:t>Regarding</w:t>
      </w:r>
      <w:proofErr w:type="spellEnd"/>
      <w:r w:rsidRPr="000C4E9B">
        <w:rPr>
          <w:rFonts w:ascii="Calibri" w:eastAsia="Calibri" w:hAnsi="Calibri" w:cs="Calibri"/>
          <w:sz w:val="22"/>
          <w:szCs w:val="22"/>
          <w:lang w:val="fr-FR"/>
        </w:rPr>
        <w:t xml:space="preserve"> Substance Use and Substance Use </w:t>
      </w:r>
      <w:proofErr w:type="spellStart"/>
      <w:r w:rsidRPr="000C4E9B">
        <w:rPr>
          <w:rFonts w:ascii="Calibri" w:eastAsia="Calibri" w:hAnsi="Calibri" w:cs="Calibri"/>
          <w:sz w:val="22"/>
          <w:szCs w:val="22"/>
          <w:lang w:val="fr-FR"/>
        </w:rPr>
        <w:t>Disorders</w:t>
      </w:r>
      <w:proofErr w:type="spellEnd"/>
      <w:r w:rsidRPr="000C4E9B">
        <w:rPr>
          <w:rFonts w:ascii="Calibri" w:eastAsia="Calibri" w:hAnsi="Calibri" w:cs="Calibri"/>
          <w:sz w:val="22"/>
          <w:szCs w:val="22"/>
          <w:lang w:val="fr-FR"/>
        </w:rPr>
        <w:t xml:space="preserve"> », ainsi que sur des </w:t>
      </w:r>
      <w:hyperlink r:id="rId29" w:history="1">
        <w:r w:rsidRPr="000C4E9B">
          <w:rPr>
            <w:rFonts w:ascii="Calibri" w:eastAsia="Calibri" w:hAnsi="Calibri" w:cs="Calibri"/>
            <w:color w:val="0563C1"/>
            <w:sz w:val="22"/>
            <w:szCs w:val="22"/>
            <w:u w:val="single"/>
            <w:lang w:val="fr-FR"/>
          </w:rPr>
          <w:t>supports de formation</w:t>
        </w:r>
      </w:hyperlink>
      <w:r w:rsidRPr="000C4E9B">
        <w:rPr>
          <w:rFonts w:ascii="Calibri" w:eastAsia="Calibri" w:hAnsi="Calibri" w:cs="Calibri"/>
          <w:color w:val="2E74B5"/>
          <w:sz w:val="22"/>
          <w:szCs w:val="22"/>
          <w:lang w:val="fr-FR"/>
        </w:rPr>
        <w:t xml:space="preserve"> </w:t>
      </w:r>
      <w:r w:rsidRPr="000C4E9B">
        <w:rPr>
          <w:rFonts w:ascii="Calibri" w:eastAsia="Calibri" w:hAnsi="Calibri" w:cs="Calibri"/>
          <w:sz w:val="22"/>
          <w:szCs w:val="22"/>
          <w:lang w:val="fr-FR"/>
        </w:rPr>
        <w:t xml:space="preserve">compilés par la Substance Abuse and Mental </w:t>
      </w:r>
      <w:proofErr w:type="spellStart"/>
      <w:r w:rsidRPr="000C4E9B">
        <w:rPr>
          <w:rFonts w:ascii="Calibri" w:eastAsia="Calibri" w:hAnsi="Calibri" w:cs="Calibri"/>
          <w:sz w:val="22"/>
          <w:szCs w:val="22"/>
          <w:lang w:val="fr-FR"/>
        </w:rPr>
        <w:t>Health</w:t>
      </w:r>
      <w:proofErr w:type="spellEnd"/>
      <w:r w:rsidRPr="000C4E9B">
        <w:rPr>
          <w:rFonts w:ascii="Calibri" w:eastAsia="Calibri" w:hAnsi="Calibri" w:cs="Calibri"/>
          <w:sz w:val="22"/>
          <w:szCs w:val="22"/>
          <w:lang w:val="fr-FR"/>
        </w:rPr>
        <w:t xml:space="preserve"> Services Administration et ses partenaires.</w:t>
      </w:r>
    </w:p>
    <w:p w14:paraId="4A9B67CF" w14:textId="77777777" w:rsidR="00341E39" w:rsidRPr="00D15745" w:rsidRDefault="00341E39" w:rsidP="00417223">
      <w:pPr>
        <w:pStyle w:val="Default"/>
        <w:spacing w:after="120" w:line="276" w:lineRule="auto"/>
        <w:rPr>
          <w:rFonts w:asciiTheme="minorHAnsi" w:hAnsiTheme="minorHAnsi" w:cstheme="minorHAnsi"/>
          <w:sz w:val="22"/>
          <w:szCs w:val="22"/>
          <w:lang w:val="fr-FR"/>
        </w:rPr>
      </w:pPr>
    </w:p>
    <w:p w14:paraId="46EA3A61" w14:textId="77777777" w:rsidR="00AA4320" w:rsidRPr="00D15745" w:rsidRDefault="007350F8" w:rsidP="00417223">
      <w:pPr>
        <w:pStyle w:val="Default"/>
        <w:spacing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Limites</w:t>
      </w:r>
    </w:p>
    <w:p w14:paraId="22CE6E56"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Les préférences linguistiques décrites dans ce guide s'appliquent essentiellement aux personnes anglophones vivant aux États-Unis. Les préférences linguistiques peuvent varier selon les régions du monde. La traduction peut également modifier le sens de certaines phrases.</w:t>
      </w:r>
    </w:p>
    <w:p w14:paraId="646B9D93" w14:textId="77777777" w:rsidR="009F1FD5"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Malgré le soin apporté à l’inclusion de nombreux points de vue de la communauté, les préférences linguistiques individuelles varient. De même, malgré des révisions régulières de l'OCGR et du WOCRB en vue de vérifier l'exactitude et la pertinence du présent document, les termes préconisés sont susceptibles d’être modifiés.</w:t>
      </w:r>
    </w:p>
    <w:p w14:paraId="0F89036C" w14:textId="77777777" w:rsidR="009F1FD5" w:rsidRPr="00D15745" w:rsidRDefault="009F1FD5" w:rsidP="00417223">
      <w:pPr>
        <w:pStyle w:val="Default"/>
        <w:spacing w:after="120" w:line="276" w:lineRule="auto"/>
        <w:rPr>
          <w:rFonts w:asciiTheme="minorHAnsi" w:hAnsiTheme="minorHAnsi" w:cstheme="minorHAnsi"/>
          <w:sz w:val="22"/>
          <w:szCs w:val="22"/>
          <w:lang w:val="fr-FR"/>
        </w:rPr>
        <w:sectPr w:rsidR="009F1FD5" w:rsidRPr="00D15745" w:rsidSect="00341E39">
          <w:headerReference w:type="default" r:id="rId30"/>
          <w:headerReference w:type="first" r:id="rId31"/>
          <w:footerReference w:type="first" r:id="rId32"/>
          <w:pgSz w:w="12240" w:h="15840"/>
          <w:pgMar w:top="1440" w:right="1440" w:bottom="1440" w:left="1440" w:header="720" w:footer="720" w:gutter="0"/>
          <w:cols w:space="720"/>
          <w:titlePg/>
          <w:docGrid w:linePitch="360"/>
        </w:sectPr>
      </w:pPr>
    </w:p>
    <w:p w14:paraId="1654F2BF" w14:textId="51A1AACE" w:rsidR="00AA4320" w:rsidRPr="00D15745" w:rsidRDefault="007350F8" w:rsidP="00821716">
      <w:pPr>
        <w:pStyle w:val="Heading1"/>
        <w:rPr>
          <w:lang w:val="fr-FR"/>
        </w:rPr>
      </w:pPr>
      <w:bookmarkStart w:id="3" w:name="_Toc39003302"/>
      <w:r>
        <w:rPr>
          <w:rFonts w:ascii="Calibri" w:eastAsia="Calibri" w:hAnsi="Calibri" w:cs="Calibri"/>
          <w:bCs/>
          <w:lang w:val="fr-FR"/>
        </w:rPr>
        <w:lastRenderedPageBreak/>
        <w:t>Considérations générales</w:t>
      </w:r>
      <w:bookmarkEnd w:id="3"/>
    </w:p>
    <w:p w14:paraId="53F138D1" w14:textId="77777777"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Contexte</w:t>
      </w:r>
    </w:p>
    <w:p w14:paraId="681D82F0"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Le choix du vocabulaire approprié dépend toujours de son contexte. De manière générale, ce guide s'applique aux communications officielles du gouvernement. Si ces principes peuvent être appliqués de manière générale aux conférences scientifiques, aux annonces d'opportunités de financement (FOA), aux demandes de propositions (RFP), aux entretiens avec les médias et aux appels publics à la participation à la recherche clinique, d'autres contextes peuvent nécessiter un langage spécifique qui ne correspond pas exactement aux lignes directrices suivantes.</w:t>
      </w:r>
    </w:p>
    <w:p w14:paraId="4F35294C" w14:textId="77777777" w:rsidR="009F1FD5" w:rsidRPr="00D15745" w:rsidRDefault="009F1FD5" w:rsidP="00417223">
      <w:pPr>
        <w:pStyle w:val="Default"/>
        <w:spacing w:after="120" w:line="276" w:lineRule="auto"/>
        <w:rPr>
          <w:rFonts w:asciiTheme="minorHAnsi" w:hAnsiTheme="minorHAnsi" w:cstheme="minorHAnsi"/>
          <w:sz w:val="22"/>
          <w:szCs w:val="22"/>
          <w:lang w:val="fr-FR"/>
        </w:rPr>
      </w:pPr>
    </w:p>
    <w:p w14:paraId="457E28F8" w14:textId="77777777"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Images</w:t>
      </w:r>
    </w:p>
    <w:p w14:paraId="13F67C33"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L'écrit et la parole ne forment qu’une partie de la communication. Les images et le langage corporel véhiculent également des messages, un certain ton et, malheureusement, de la stigmatisation. Soyez attentif aux effets des images sur le public visé. Dans le contexte du VIH, la plupart des militants préfèrent les images qui mettent en évidence les personnes vivant avec le VIH de manière dynamique à celles qui peuvent montrer des représentations graphiques des symptômes du sida. De même, les personnes souffrant de troubles liés à la consommation de substances psychoactives mettent en garde contre l'utilisation d'images d'alcool, de seringues ou de pilules en rapport avec la consommation de substances psychoactives, car celles-ci peuvent faire réagir une personne en voie de guérison.</w:t>
      </w:r>
    </w:p>
    <w:p w14:paraId="72077CA7" w14:textId="77777777" w:rsidR="009F1FD5" w:rsidRPr="00D15745" w:rsidRDefault="009F1FD5" w:rsidP="00417223">
      <w:pPr>
        <w:pStyle w:val="Default"/>
        <w:spacing w:after="120" w:line="276" w:lineRule="auto"/>
        <w:rPr>
          <w:rFonts w:asciiTheme="minorHAnsi" w:hAnsiTheme="minorHAnsi" w:cstheme="minorHAnsi"/>
          <w:sz w:val="22"/>
          <w:szCs w:val="22"/>
          <w:lang w:val="fr-FR"/>
        </w:rPr>
      </w:pPr>
    </w:p>
    <w:p w14:paraId="2446017D" w14:textId="77777777"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La règle de platine</w:t>
      </w:r>
    </w:p>
    <w:p w14:paraId="2CB3E4C3" w14:textId="1E658842" w:rsidR="00AA4320" w:rsidRPr="00D15745" w:rsidRDefault="007350F8" w:rsidP="00417223">
      <w:pPr>
        <w:pStyle w:val="Default"/>
        <w:spacing w:after="120" w:line="276" w:lineRule="auto"/>
        <w:rPr>
          <w:rFonts w:asciiTheme="minorHAnsi" w:hAnsiTheme="minorHAnsi" w:cstheme="minorHAnsi"/>
          <w:sz w:val="22"/>
          <w:szCs w:val="22"/>
          <w:lang w:val="fr-FR"/>
        </w:rPr>
      </w:pPr>
      <w:r w:rsidRPr="00BC4C0F">
        <w:rPr>
          <w:rFonts w:ascii="Calibri" w:eastAsia="Calibri" w:hAnsi="Calibri" w:cs="Calibri"/>
          <w:sz w:val="22"/>
          <w:szCs w:val="22"/>
          <w:lang w:val="fr-FR"/>
        </w:rPr>
        <w:t>Nombreux sont ceux</w:t>
      </w:r>
      <w:r>
        <w:rPr>
          <w:rFonts w:ascii="Calibri" w:eastAsia="Calibri" w:hAnsi="Calibri" w:cs="Calibri"/>
          <w:sz w:val="22"/>
          <w:szCs w:val="22"/>
          <w:lang w:val="fr-FR"/>
        </w:rPr>
        <w:t xml:space="preserve"> qui, enfants, apprennent que la meilleure façon de respecter les autres est de suivre la règle d'or suivante : « Traite les autres comme tu voudrais </w:t>
      </w:r>
      <w:r w:rsidRPr="00BC4C0F">
        <w:rPr>
          <w:rFonts w:ascii="Calibri" w:eastAsia="Calibri" w:hAnsi="Calibri" w:cs="Calibri"/>
          <w:sz w:val="22"/>
          <w:szCs w:val="22"/>
          <w:lang w:val="fr-FR"/>
        </w:rPr>
        <w:t>être traité</w:t>
      </w:r>
      <w:r>
        <w:rPr>
          <w:rFonts w:ascii="Calibri" w:eastAsia="Calibri" w:hAnsi="Calibri" w:cs="Calibri"/>
          <w:sz w:val="22"/>
          <w:szCs w:val="22"/>
          <w:lang w:val="fr-FR"/>
        </w:rPr>
        <w:t xml:space="preserve">. » De </w:t>
      </w:r>
      <w:r w:rsidRPr="00BC4C0F">
        <w:rPr>
          <w:rFonts w:ascii="Calibri" w:eastAsia="Calibri" w:hAnsi="Calibri" w:cs="Calibri"/>
          <w:sz w:val="22"/>
          <w:szCs w:val="22"/>
          <w:lang w:val="fr-FR"/>
        </w:rPr>
        <w:t>nombreux défenseurs</w:t>
      </w:r>
      <w:r>
        <w:rPr>
          <w:rFonts w:ascii="Calibri" w:eastAsia="Calibri" w:hAnsi="Calibri" w:cs="Calibri"/>
          <w:sz w:val="22"/>
          <w:szCs w:val="22"/>
          <w:lang w:val="fr-FR"/>
        </w:rPr>
        <w:t xml:space="preserve"> de la communauté des personnes </w:t>
      </w:r>
      <w:r w:rsidR="001D0B24">
        <w:rPr>
          <w:rFonts w:ascii="Calibri" w:eastAsia="Calibri" w:hAnsi="Calibri" w:cs="Calibri"/>
          <w:sz w:val="22"/>
          <w:szCs w:val="22"/>
          <w:lang w:val="fr-FR"/>
        </w:rPr>
        <w:t>vivant avec</w:t>
      </w:r>
      <w:r>
        <w:rPr>
          <w:rFonts w:ascii="Calibri" w:eastAsia="Calibri" w:hAnsi="Calibri" w:cs="Calibri"/>
          <w:sz w:val="22"/>
          <w:szCs w:val="22"/>
          <w:lang w:val="fr-FR"/>
        </w:rPr>
        <w:t xml:space="preserve"> le VIH préfèrent évoquer la règle de platine : « Traite les autres comme </w:t>
      </w:r>
      <w:r w:rsidRPr="00BC4C0F">
        <w:rPr>
          <w:rFonts w:ascii="Calibri" w:eastAsia="Calibri" w:hAnsi="Calibri" w:cs="Calibri"/>
          <w:i/>
          <w:iCs/>
          <w:sz w:val="22"/>
          <w:szCs w:val="22"/>
          <w:lang w:val="fr-FR"/>
        </w:rPr>
        <w:t>ils</w:t>
      </w:r>
      <w:r w:rsidRPr="00BC4C0F">
        <w:rPr>
          <w:rFonts w:ascii="Calibri" w:eastAsia="Calibri" w:hAnsi="Calibri" w:cs="Calibri"/>
          <w:sz w:val="22"/>
          <w:szCs w:val="22"/>
          <w:lang w:val="fr-FR"/>
        </w:rPr>
        <w:t xml:space="preserve"> voudraient être traités</w:t>
      </w:r>
      <w:r>
        <w:rPr>
          <w:rFonts w:ascii="Calibri" w:eastAsia="Calibri" w:hAnsi="Calibri" w:cs="Calibri"/>
          <w:sz w:val="22"/>
          <w:szCs w:val="22"/>
          <w:lang w:val="fr-FR"/>
        </w:rPr>
        <w:t xml:space="preserve">. » Ce guide vise à aider les scientifiques et les </w:t>
      </w:r>
      <w:r w:rsidRPr="00BC4C0F">
        <w:rPr>
          <w:rFonts w:ascii="Calibri" w:eastAsia="Calibri" w:hAnsi="Calibri" w:cs="Calibri"/>
          <w:sz w:val="22"/>
          <w:szCs w:val="22"/>
          <w:lang w:val="fr-FR"/>
        </w:rPr>
        <w:t>administrateurs</w:t>
      </w:r>
      <w:r>
        <w:rPr>
          <w:rFonts w:ascii="Calibri" w:eastAsia="Calibri" w:hAnsi="Calibri" w:cs="Calibri"/>
          <w:sz w:val="22"/>
          <w:szCs w:val="22"/>
          <w:lang w:val="fr-FR"/>
        </w:rPr>
        <w:t xml:space="preserve"> à utiliser un langage juste, précis et respectueux. Les préférences peuvent toutefois changer et varier selon les groupes et les individus. Ces dernières peuvent également évoluer au fil du temps.</w:t>
      </w:r>
    </w:p>
    <w:p w14:paraId="0C5BEA34"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Soyez à l’écoute des personnes les plus touchées par le langage stigmatisant et fiez-vous à leur expérience. Lorsque c'est possible, recherchez de manière proactive les contributions des voix marginalisées. Reconnaissez qu'il peut ne pas y avoir de « bonne » réponse universelle sur la façon de discuter d'un certain sujet et que trouver le vocabulaire le plus approprié peut signifier reformuler ou recadrer un message plutôt que de substituer certains termes. Bien que cette tâche puisse sembler frustrante pour </w:t>
      </w:r>
      <w:r w:rsidRPr="00BC4C0F">
        <w:rPr>
          <w:rFonts w:ascii="Calibri" w:eastAsia="Calibri" w:hAnsi="Calibri" w:cs="Calibri"/>
          <w:sz w:val="22"/>
          <w:szCs w:val="22"/>
          <w:lang w:val="fr-FR"/>
        </w:rPr>
        <w:t>certains</w:t>
      </w:r>
      <w:r>
        <w:rPr>
          <w:rFonts w:ascii="Calibri" w:eastAsia="Calibri" w:hAnsi="Calibri" w:cs="Calibri"/>
          <w:sz w:val="22"/>
          <w:szCs w:val="22"/>
          <w:lang w:val="fr-FR"/>
        </w:rPr>
        <w:t xml:space="preserve">, miser sur une communication respectueuse peut renforcer la relation entre les responsables </w:t>
      </w:r>
      <w:r w:rsidRPr="00BC4C0F">
        <w:rPr>
          <w:rFonts w:ascii="Calibri" w:eastAsia="Calibri" w:hAnsi="Calibri" w:cs="Calibri"/>
          <w:sz w:val="22"/>
          <w:szCs w:val="22"/>
          <w:lang w:val="fr-FR"/>
        </w:rPr>
        <w:t>gouvernementaux</w:t>
      </w:r>
      <w:r>
        <w:rPr>
          <w:rFonts w:ascii="Calibri" w:eastAsia="Calibri" w:hAnsi="Calibri" w:cs="Calibri"/>
          <w:sz w:val="22"/>
          <w:szCs w:val="22"/>
          <w:lang w:val="fr-FR"/>
        </w:rPr>
        <w:t xml:space="preserve"> et le public à sensibiliser.</w:t>
      </w:r>
    </w:p>
    <w:p w14:paraId="3D348CCE" w14:textId="77777777" w:rsidR="009F1FD5" w:rsidRPr="00D15745" w:rsidRDefault="009F1FD5" w:rsidP="00417223">
      <w:pPr>
        <w:pStyle w:val="Default"/>
        <w:spacing w:after="120" w:line="276" w:lineRule="auto"/>
        <w:rPr>
          <w:rFonts w:asciiTheme="minorHAnsi" w:hAnsiTheme="minorHAnsi" w:cstheme="minorHAnsi"/>
          <w:sz w:val="22"/>
          <w:szCs w:val="22"/>
          <w:lang w:val="fr-FR"/>
        </w:rPr>
      </w:pPr>
    </w:p>
    <w:p w14:paraId="69E94B3F" w14:textId="77777777" w:rsidR="007350F8" w:rsidRPr="00D15745" w:rsidRDefault="007350F8" w:rsidP="00417223">
      <w:pPr>
        <w:pStyle w:val="Default"/>
        <w:spacing w:after="120" w:line="276" w:lineRule="auto"/>
        <w:rPr>
          <w:rFonts w:asciiTheme="minorHAnsi" w:hAnsiTheme="minorHAnsi" w:cstheme="minorHAnsi"/>
          <w:sz w:val="22"/>
          <w:szCs w:val="22"/>
          <w:lang w:val="fr-FR"/>
        </w:rPr>
      </w:pPr>
    </w:p>
    <w:p w14:paraId="240A925B" w14:textId="77777777"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lastRenderedPageBreak/>
        <w:t>Des questions ?</w:t>
      </w:r>
    </w:p>
    <w:p w14:paraId="449D6687" w14:textId="3829017A"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Si vous êtes </w:t>
      </w:r>
      <w:r w:rsidRPr="00BC4C0F">
        <w:rPr>
          <w:rFonts w:ascii="Calibri" w:eastAsia="Calibri" w:hAnsi="Calibri" w:cs="Calibri"/>
          <w:sz w:val="22"/>
          <w:szCs w:val="22"/>
          <w:lang w:val="fr-FR"/>
        </w:rPr>
        <w:t>un employé</w:t>
      </w:r>
      <w:r>
        <w:rPr>
          <w:rFonts w:ascii="Calibri" w:eastAsia="Calibri" w:hAnsi="Calibri" w:cs="Calibri"/>
          <w:sz w:val="22"/>
          <w:szCs w:val="22"/>
          <w:lang w:val="fr-FR"/>
        </w:rPr>
        <w:t xml:space="preserve"> du NIH, l</w:t>
      </w:r>
      <w:r w:rsidR="001A7932">
        <w:rPr>
          <w:rFonts w:asciiTheme="minorHAnsi" w:hAnsiTheme="minorHAnsi" w:cstheme="minorHAnsi"/>
          <w:color w:val="auto"/>
          <w:sz w:val="22"/>
          <w:szCs w:val="22"/>
          <w:lang w:val="fr-FR"/>
        </w:rPr>
        <w:t xml:space="preserve">e </w:t>
      </w:r>
      <w:r w:rsidR="001A7932" w:rsidRPr="002822F0">
        <w:rPr>
          <w:rFonts w:asciiTheme="minorHAnsi" w:hAnsiTheme="minorHAnsi" w:cstheme="minorHAnsi"/>
          <w:color w:val="auto"/>
          <w:sz w:val="22"/>
          <w:szCs w:val="22"/>
          <w:lang w:val="fr-FR"/>
        </w:rPr>
        <w:t xml:space="preserve">Bureau des communications et des relations gouvernementales (Office of Communications &amp; </w:t>
      </w:r>
      <w:proofErr w:type="spellStart"/>
      <w:r w:rsidR="001A7932" w:rsidRPr="002822F0">
        <w:rPr>
          <w:rFonts w:asciiTheme="minorHAnsi" w:hAnsiTheme="minorHAnsi" w:cstheme="minorHAnsi"/>
          <w:color w:val="auto"/>
          <w:sz w:val="22"/>
          <w:szCs w:val="22"/>
          <w:lang w:val="fr-FR"/>
        </w:rPr>
        <w:t>Government</w:t>
      </w:r>
      <w:proofErr w:type="spellEnd"/>
      <w:r w:rsidR="001A7932" w:rsidRPr="002822F0">
        <w:rPr>
          <w:rFonts w:asciiTheme="minorHAnsi" w:hAnsiTheme="minorHAnsi" w:cstheme="minorHAnsi"/>
          <w:color w:val="auto"/>
          <w:sz w:val="22"/>
          <w:szCs w:val="22"/>
          <w:lang w:val="fr-FR"/>
        </w:rPr>
        <w:t xml:space="preserve"> Relations, OCGR)</w:t>
      </w:r>
      <w:r w:rsidR="001A7932">
        <w:rPr>
          <w:rFonts w:asciiTheme="minorHAnsi" w:hAnsiTheme="minorHAnsi" w:cstheme="minorHAnsi"/>
          <w:color w:val="auto"/>
          <w:sz w:val="22"/>
          <w:szCs w:val="22"/>
          <w:lang w:val="fr-FR"/>
        </w:rPr>
        <w:t xml:space="preserve"> </w:t>
      </w:r>
      <w:r w:rsidR="00232D53">
        <w:rPr>
          <w:rFonts w:ascii="Calibri" w:eastAsia="Calibri" w:hAnsi="Calibri" w:cs="Calibri"/>
          <w:sz w:val="22"/>
          <w:szCs w:val="22"/>
          <w:lang w:val="fr-FR"/>
        </w:rPr>
        <w:t>de l’</w:t>
      </w:r>
      <w:r w:rsidR="00232D53" w:rsidRPr="00D15745">
        <w:rPr>
          <w:rFonts w:ascii="Calibri" w:eastAsia="Calibri" w:hAnsi="Calibri" w:cs="Calibri"/>
          <w:sz w:val="22"/>
          <w:szCs w:val="22"/>
          <w:lang w:val="fr-FR"/>
        </w:rPr>
        <w:t>Institut national des allergies et des maladies infectieuses</w:t>
      </w:r>
      <w:r w:rsidR="00232D53" w:rsidRPr="002A0FBA">
        <w:rPr>
          <w:rFonts w:ascii="Calibri" w:eastAsia="Calibri" w:hAnsi="Calibri" w:cs="Calibri"/>
          <w:sz w:val="22"/>
          <w:szCs w:val="22"/>
          <w:lang w:val="fr-FR"/>
        </w:rPr>
        <w:t xml:space="preserve"> </w:t>
      </w:r>
      <w:r w:rsidR="00232D53" w:rsidRPr="00D15745">
        <w:rPr>
          <w:rFonts w:ascii="Calibri" w:eastAsia="Calibri" w:hAnsi="Calibri" w:cs="Calibri"/>
          <w:sz w:val="22"/>
          <w:szCs w:val="22"/>
          <w:lang w:val="fr-FR"/>
        </w:rPr>
        <w:t xml:space="preserve">(National Institute of </w:t>
      </w:r>
      <w:proofErr w:type="spellStart"/>
      <w:r w:rsidR="00232D53" w:rsidRPr="00D15745">
        <w:rPr>
          <w:rFonts w:ascii="Calibri" w:eastAsia="Calibri" w:hAnsi="Calibri" w:cs="Calibri"/>
          <w:sz w:val="22"/>
          <w:szCs w:val="22"/>
          <w:lang w:val="fr-FR"/>
        </w:rPr>
        <w:t>Allergy</w:t>
      </w:r>
      <w:proofErr w:type="spellEnd"/>
      <w:r w:rsidR="00232D53" w:rsidRPr="00D15745">
        <w:rPr>
          <w:rFonts w:ascii="Calibri" w:eastAsia="Calibri" w:hAnsi="Calibri" w:cs="Calibri"/>
          <w:sz w:val="22"/>
          <w:szCs w:val="22"/>
          <w:lang w:val="fr-FR"/>
        </w:rPr>
        <w:t xml:space="preserve"> and </w:t>
      </w:r>
      <w:proofErr w:type="spellStart"/>
      <w:r w:rsidR="00232D53" w:rsidRPr="00D15745">
        <w:rPr>
          <w:rFonts w:ascii="Calibri" w:eastAsia="Calibri" w:hAnsi="Calibri" w:cs="Calibri"/>
          <w:sz w:val="22"/>
          <w:szCs w:val="22"/>
          <w:lang w:val="fr-FR"/>
        </w:rPr>
        <w:t>Infectious</w:t>
      </w:r>
      <w:proofErr w:type="spellEnd"/>
      <w:r w:rsidR="00232D53" w:rsidRPr="00D15745">
        <w:rPr>
          <w:rFonts w:ascii="Calibri" w:eastAsia="Calibri" w:hAnsi="Calibri" w:cs="Calibri"/>
          <w:sz w:val="22"/>
          <w:szCs w:val="22"/>
          <w:lang w:val="fr-FR"/>
        </w:rPr>
        <w:t xml:space="preserve"> </w:t>
      </w:r>
      <w:proofErr w:type="spellStart"/>
      <w:r w:rsidR="00232D53" w:rsidRPr="00D15745">
        <w:rPr>
          <w:rFonts w:ascii="Calibri" w:eastAsia="Calibri" w:hAnsi="Calibri" w:cs="Calibri"/>
          <w:sz w:val="22"/>
          <w:szCs w:val="22"/>
          <w:lang w:val="fr-FR"/>
        </w:rPr>
        <w:t>Diseases</w:t>
      </w:r>
      <w:proofErr w:type="spellEnd"/>
      <w:r w:rsidR="00232D53" w:rsidRPr="002A0FBA">
        <w:rPr>
          <w:rFonts w:ascii="Calibri" w:eastAsia="Calibri" w:hAnsi="Calibri" w:cs="Calibri"/>
          <w:sz w:val="22"/>
          <w:szCs w:val="22"/>
          <w:lang w:val="fr-FR"/>
        </w:rPr>
        <w:t>, NIAID</w:t>
      </w:r>
      <w:r w:rsidR="00232D53">
        <w:rPr>
          <w:rFonts w:ascii="Calibri" w:eastAsia="Calibri" w:hAnsi="Calibri" w:cs="Calibri"/>
          <w:sz w:val="22"/>
          <w:szCs w:val="22"/>
          <w:lang w:val="fr-FR"/>
        </w:rPr>
        <w:t xml:space="preserve">) </w:t>
      </w:r>
      <w:r>
        <w:rPr>
          <w:rFonts w:ascii="Calibri" w:eastAsia="Calibri" w:hAnsi="Calibri" w:cs="Calibri"/>
          <w:sz w:val="22"/>
          <w:szCs w:val="22"/>
          <w:lang w:val="fr-FR"/>
        </w:rPr>
        <w:t xml:space="preserve">est à votre disposition pour vous aider dans vos communications et vous conseiller sur l'utilisation de la terminologie appropriée. Contactez-les à l’adresse </w:t>
      </w:r>
      <w:hyperlink r:id="rId33" w:history="1">
        <w:r>
          <w:rPr>
            <w:rFonts w:ascii="Calibri" w:eastAsia="Calibri" w:hAnsi="Calibri" w:cs="Calibri"/>
            <w:color w:val="0563C1"/>
            <w:sz w:val="22"/>
            <w:szCs w:val="22"/>
            <w:u w:val="single"/>
            <w:lang w:val="fr-FR"/>
          </w:rPr>
          <w:t>NIAIDNews@niaid.nih.gov</w:t>
        </w:r>
      </w:hyperlink>
      <w:r>
        <w:rPr>
          <w:rFonts w:ascii="Calibri" w:eastAsia="Calibri" w:hAnsi="Calibri" w:cs="Calibri"/>
          <w:sz w:val="22"/>
          <w:szCs w:val="22"/>
          <w:lang w:val="fr-FR"/>
        </w:rPr>
        <w:t>.</w:t>
      </w:r>
    </w:p>
    <w:p w14:paraId="65732F18" w14:textId="77777777" w:rsidR="009F1FD5" w:rsidRPr="00D15745" w:rsidRDefault="009F1FD5" w:rsidP="00417223">
      <w:pPr>
        <w:pStyle w:val="Default"/>
        <w:spacing w:after="120" w:line="276" w:lineRule="auto"/>
        <w:rPr>
          <w:rFonts w:asciiTheme="minorHAnsi" w:hAnsiTheme="minorHAnsi" w:cstheme="minorHAnsi"/>
          <w:sz w:val="22"/>
          <w:szCs w:val="22"/>
          <w:lang w:val="fr-FR"/>
        </w:rPr>
        <w:sectPr w:rsidR="009F1FD5" w:rsidRPr="00D15745" w:rsidSect="00F50A2F">
          <w:headerReference w:type="default" r:id="rId34"/>
          <w:headerReference w:type="first" r:id="rId35"/>
          <w:footerReference w:type="first" r:id="rId36"/>
          <w:pgSz w:w="12240" w:h="15840"/>
          <w:pgMar w:top="1440" w:right="1440" w:bottom="1440" w:left="1440" w:header="720" w:footer="720" w:gutter="0"/>
          <w:cols w:space="720"/>
          <w:docGrid w:linePitch="360"/>
        </w:sectPr>
      </w:pPr>
    </w:p>
    <w:p w14:paraId="0EE294B2" w14:textId="0A88A7FF" w:rsidR="009F1FD5" w:rsidRPr="00727EC8" w:rsidRDefault="007350F8" w:rsidP="00821716">
      <w:pPr>
        <w:pStyle w:val="Heading1"/>
      </w:pPr>
      <w:bookmarkStart w:id="4" w:name="_Toc39003303"/>
      <w:r>
        <w:rPr>
          <w:rFonts w:ascii="Calibri" w:eastAsia="Calibri" w:hAnsi="Calibri" w:cs="Calibri"/>
          <w:bCs/>
          <w:lang w:val="fr-FR"/>
        </w:rPr>
        <w:lastRenderedPageBreak/>
        <w:t>5 conseils pratiques</w:t>
      </w:r>
      <w:bookmarkEnd w:id="4"/>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896FB7" w14:paraId="0749D1FC" w14:textId="77777777" w:rsidTr="00040797">
        <w:trPr>
          <w:tblHeader/>
        </w:trPr>
        <w:tc>
          <w:tcPr>
            <w:tcW w:w="1667" w:type="pct"/>
            <w:tcBorders>
              <w:top w:val="nil"/>
              <w:left w:val="nil"/>
              <w:bottom w:val="single" w:sz="18" w:space="0" w:color="C9C9C9"/>
            </w:tcBorders>
          </w:tcPr>
          <w:p w14:paraId="256F3680" w14:textId="77777777" w:rsidR="00AA4320" w:rsidRPr="00727EC8" w:rsidRDefault="007350F8"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fr-FR"/>
              </w:rPr>
              <w:t>Essayez plutôt ceci…</w:t>
            </w:r>
          </w:p>
        </w:tc>
        <w:tc>
          <w:tcPr>
            <w:tcW w:w="1667" w:type="pct"/>
            <w:tcBorders>
              <w:top w:val="nil"/>
              <w:bottom w:val="single" w:sz="18" w:space="0" w:color="C9C9C9"/>
            </w:tcBorders>
          </w:tcPr>
          <w:p w14:paraId="368A8B11" w14:textId="77777777" w:rsidR="00AA4320" w:rsidRPr="00727EC8" w:rsidRDefault="007350F8"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fr-FR"/>
              </w:rPr>
              <w:t>Au lieu de cela…</w:t>
            </w:r>
          </w:p>
        </w:tc>
        <w:tc>
          <w:tcPr>
            <w:tcW w:w="1666" w:type="pct"/>
            <w:tcBorders>
              <w:top w:val="nil"/>
              <w:bottom w:val="single" w:sz="18" w:space="0" w:color="C9C9C9"/>
              <w:right w:val="nil"/>
            </w:tcBorders>
          </w:tcPr>
          <w:p w14:paraId="7C05D859" w14:textId="77777777" w:rsidR="00AA4320" w:rsidRPr="00727EC8" w:rsidRDefault="007350F8"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fr-FR"/>
              </w:rPr>
              <w:t>Parce que...</w:t>
            </w:r>
          </w:p>
        </w:tc>
      </w:tr>
      <w:tr w:rsidR="00896FB7" w14:paraId="037BA2E8" w14:textId="77777777" w:rsidTr="00040797">
        <w:tc>
          <w:tcPr>
            <w:tcW w:w="1667" w:type="pct"/>
            <w:tcBorders>
              <w:top w:val="single" w:sz="18" w:space="0" w:color="C9C9C9"/>
            </w:tcBorders>
            <w:shd w:val="clear" w:color="auto" w:fill="EDEDED"/>
          </w:tcPr>
          <w:p w14:paraId="36096991" w14:textId="77777777" w:rsidR="00581579" w:rsidRPr="00D15745" w:rsidRDefault="007350F8" w:rsidP="00040797">
            <w:pPr>
              <w:pStyle w:val="Default"/>
              <w:spacing w:line="276" w:lineRule="auto"/>
              <w:rPr>
                <w:rFonts w:asciiTheme="minorHAnsi" w:hAnsiTheme="minorHAnsi" w:cstheme="minorHAnsi"/>
                <w:b/>
                <w:bCs/>
                <w:sz w:val="22"/>
                <w:szCs w:val="22"/>
                <w:lang w:val="fr-FR"/>
              </w:rPr>
            </w:pPr>
            <w:r>
              <w:rPr>
                <w:rFonts w:ascii="Calibri" w:eastAsia="Calibri" w:hAnsi="Calibri" w:cs="Calibri"/>
                <w:b/>
                <w:bCs/>
                <w:sz w:val="22"/>
                <w:szCs w:val="22"/>
                <w:lang w:val="fr-FR"/>
              </w:rPr>
              <w:t>VIH</w:t>
            </w:r>
          </w:p>
          <w:p w14:paraId="2223C249" w14:textId="77777777" w:rsidR="00581579"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virus</w:t>
            </w:r>
            <w:proofErr w:type="gramEnd"/>
            <w:r>
              <w:rPr>
                <w:rFonts w:ascii="Calibri" w:eastAsia="Calibri" w:hAnsi="Calibri" w:cs="Calibri"/>
                <w:b/>
                <w:bCs/>
                <w:sz w:val="22"/>
                <w:szCs w:val="22"/>
                <w:lang w:val="fr-FR"/>
              </w:rPr>
              <w:t xml:space="preserve"> de l'immunodéficience humaine</w:t>
            </w:r>
          </w:p>
        </w:tc>
        <w:tc>
          <w:tcPr>
            <w:tcW w:w="1667" w:type="pct"/>
            <w:tcBorders>
              <w:top w:val="single" w:sz="18" w:space="0" w:color="C9C9C9"/>
            </w:tcBorders>
            <w:shd w:val="clear" w:color="auto" w:fill="EDEDED"/>
          </w:tcPr>
          <w:p w14:paraId="50E11F7E" w14:textId="77777777" w:rsidR="00581579" w:rsidRPr="00727EC8" w:rsidRDefault="007350F8"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fr-FR"/>
              </w:rPr>
              <w:t>Infection par le VIH</w:t>
            </w:r>
          </w:p>
        </w:tc>
        <w:tc>
          <w:tcPr>
            <w:tcW w:w="1666" w:type="pct"/>
            <w:vMerge w:val="restart"/>
            <w:tcBorders>
              <w:top w:val="single" w:sz="18" w:space="0" w:color="C9C9C9"/>
            </w:tcBorders>
            <w:shd w:val="clear" w:color="auto" w:fill="EDEDED"/>
          </w:tcPr>
          <w:p w14:paraId="67820EB8" w14:textId="77777777" w:rsidR="00581579" w:rsidRPr="00727EC8" w:rsidRDefault="007350F8"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fr-FR"/>
              </w:rPr>
              <w:t xml:space="preserve">« Infection » stigmatise les personnes en les désignant comme contagieuses, une menace, ou impures. Les </w:t>
            </w:r>
            <w:r w:rsidRPr="00BC4C0F">
              <w:rPr>
                <w:rFonts w:ascii="Calibri" w:eastAsia="Calibri" w:hAnsi="Calibri" w:cs="Calibri"/>
                <w:sz w:val="22"/>
                <w:szCs w:val="22"/>
                <w:lang w:val="fr-FR"/>
              </w:rPr>
              <w:t>défenseurs</w:t>
            </w:r>
            <w:r>
              <w:rPr>
                <w:rFonts w:ascii="Calibri" w:eastAsia="Calibri" w:hAnsi="Calibri" w:cs="Calibri"/>
                <w:sz w:val="22"/>
                <w:szCs w:val="22"/>
                <w:lang w:val="fr-FR"/>
              </w:rPr>
              <w:t xml:space="preserve"> de la lutte contre le VIH soulignent fréquemment les conséquences néfastes du choix de ce mot. Lorsqu'il est question de personnes, le langage axé sur la personne met d'abord l'accent sur son humanité. « Vivre avec » est une affirmation privilégiée par de nombreux </w:t>
            </w:r>
            <w:r w:rsidRPr="00BC4C0F">
              <w:rPr>
                <w:rFonts w:ascii="Calibri" w:eastAsia="Calibri" w:hAnsi="Calibri" w:cs="Calibri"/>
                <w:sz w:val="22"/>
                <w:szCs w:val="22"/>
                <w:lang w:val="fr-FR"/>
              </w:rPr>
              <w:t>militants</w:t>
            </w:r>
            <w:r>
              <w:rPr>
                <w:rFonts w:ascii="Calibri" w:eastAsia="Calibri" w:hAnsi="Calibri" w:cs="Calibri"/>
                <w:sz w:val="22"/>
                <w:szCs w:val="22"/>
                <w:lang w:val="fr-FR"/>
              </w:rPr>
              <w:t>. « Les personnes vivant avec le VIH » est également acceptable.</w:t>
            </w:r>
          </w:p>
        </w:tc>
      </w:tr>
      <w:tr w:rsidR="00896FB7" w:rsidRPr="00EE1EE3" w14:paraId="6148293C" w14:textId="77777777" w:rsidTr="00040797">
        <w:tc>
          <w:tcPr>
            <w:tcW w:w="1667" w:type="pct"/>
            <w:shd w:val="clear" w:color="auto" w:fill="EDEDED"/>
          </w:tcPr>
          <w:p w14:paraId="39254DA3" w14:textId="77777777" w:rsidR="00581579"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personnes</w:t>
            </w:r>
            <w:proofErr w:type="gramEnd"/>
            <w:r>
              <w:rPr>
                <w:rFonts w:ascii="Calibri" w:eastAsia="Calibri" w:hAnsi="Calibri" w:cs="Calibri"/>
                <w:b/>
                <w:bCs/>
                <w:sz w:val="22"/>
                <w:szCs w:val="22"/>
                <w:lang w:val="fr-FR"/>
              </w:rPr>
              <w:t xml:space="preserve"> vivant avec le VIH</w:t>
            </w:r>
          </w:p>
        </w:tc>
        <w:tc>
          <w:tcPr>
            <w:tcW w:w="1667" w:type="pct"/>
            <w:shd w:val="clear" w:color="auto" w:fill="EDEDED"/>
          </w:tcPr>
          <w:p w14:paraId="67203842" w14:textId="77777777" w:rsidR="00581579"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personnes</w:t>
            </w:r>
            <w:proofErr w:type="gramEnd"/>
            <w:r>
              <w:rPr>
                <w:rFonts w:ascii="Calibri" w:eastAsia="Calibri" w:hAnsi="Calibri" w:cs="Calibri"/>
                <w:sz w:val="22"/>
                <w:szCs w:val="22"/>
                <w:lang w:val="fr-FR"/>
              </w:rPr>
              <w:t xml:space="preserve"> infectées par le VIH</w:t>
            </w:r>
          </w:p>
        </w:tc>
        <w:tc>
          <w:tcPr>
            <w:tcW w:w="1666" w:type="pct"/>
            <w:vMerge/>
            <w:shd w:val="clear" w:color="auto" w:fill="EDEDED"/>
          </w:tcPr>
          <w:p w14:paraId="5A1B3835" w14:textId="77777777" w:rsidR="00581579" w:rsidRPr="00D15745" w:rsidRDefault="00581579" w:rsidP="00040797">
            <w:pPr>
              <w:pStyle w:val="Default"/>
              <w:spacing w:after="120" w:line="276" w:lineRule="auto"/>
              <w:rPr>
                <w:rFonts w:asciiTheme="minorHAnsi" w:hAnsiTheme="minorHAnsi" w:cstheme="minorHAnsi"/>
                <w:sz w:val="22"/>
                <w:szCs w:val="22"/>
                <w:lang w:val="fr-FR"/>
              </w:rPr>
            </w:pPr>
          </w:p>
        </w:tc>
      </w:tr>
      <w:tr w:rsidR="00896FB7" w:rsidRPr="00EE1EE3" w14:paraId="60DC99B3" w14:textId="77777777" w:rsidTr="00040797">
        <w:tc>
          <w:tcPr>
            <w:tcW w:w="1667" w:type="pct"/>
            <w:shd w:val="clear" w:color="auto" w:fill="auto"/>
          </w:tcPr>
          <w:p w14:paraId="2862D6CA" w14:textId="77777777" w:rsidR="00AA4320" w:rsidRPr="00727EC8" w:rsidRDefault="007350F8"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fr-FR"/>
              </w:rPr>
              <w:t>VIH</w:t>
            </w:r>
          </w:p>
        </w:tc>
        <w:tc>
          <w:tcPr>
            <w:tcW w:w="1667" w:type="pct"/>
            <w:shd w:val="clear" w:color="auto" w:fill="auto"/>
          </w:tcPr>
          <w:p w14:paraId="72D6BDC0" w14:textId="77777777" w:rsidR="00AA4320" w:rsidRPr="00727EC8" w:rsidRDefault="007350F8"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fr-FR"/>
              </w:rPr>
              <w:t>VIH/SIDA</w:t>
            </w:r>
          </w:p>
        </w:tc>
        <w:tc>
          <w:tcPr>
            <w:tcW w:w="1666" w:type="pct"/>
            <w:shd w:val="clear" w:color="auto" w:fill="auto"/>
          </w:tcPr>
          <w:p w14:paraId="333A5BB2" w14:textId="77777777" w:rsidR="00AA4320"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Le terme « sida » évoque la souffrance et la mort et ne doit être utilisé que pour décrire spécifiquement la maladie. Le VIH englobe à la fois le VIH et le sida lorsque la référence n'est pas explicite, comme dans « l'épidémie de VIH ».</w:t>
            </w:r>
          </w:p>
        </w:tc>
      </w:tr>
      <w:tr w:rsidR="00896FB7" w:rsidRPr="00EE1EE3" w14:paraId="3C69BC31" w14:textId="77777777" w:rsidTr="00040797">
        <w:tc>
          <w:tcPr>
            <w:tcW w:w="1667" w:type="pct"/>
            <w:shd w:val="clear" w:color="auto" w:fill="EDEDED"/>
          </w:tcPr>
          <w:p w14:paraId="0A01404C" w14:textId="77777777" w:rsidR="00581579"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communauté</w:t>
            </w:r>
            <w:proofErr w:type="gramEnd"/>
            <w:r>
              <w:rPr>
                <w:rFonts w:ascii="Calibri" w:eastAsia="Calibri" w:hAnsi="Calibri" w:cs="Calibri"/>
                <w:b/>
                <w:bCs/>
                <w:sz w:val="22"/>
                <w:szCs w:val="22"/>
                <w:lang w:val="fr-FR"/>
              </w:rPr>
              <w:t xml:space="preserve">/population affectée </w:t>
            </w:r>
            <w:r>
              <w:rPr>
                <w:rFonts w:ascii="Calibri" w:eastAsia="Calibri" w:hAnsi="Calibri" w:cs="Calibri"/>
                <w:sz w:val="22"/>
                <w:szCs w:val="22"/>
                <w:lang w:val="fr-FR"/>
              </w:rPr>
              <w:t>ou</w:t>
            </w:r>
          </w:p>
          <w:p w14:paraId="6D0C5609" w14:textId="77777777" w:rsidR="00AA4320"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population</w:t>
            </w:r>
            <w:proofErr w:type="gramEnd"/>
            <w:r>
              <w:rPr>
                <w:rFonts w:ascii="Calibri" w:eastAsia="Calibri" w:hAnsi="Calibri" w:cs="Calibri"/>
                <w:b/>
                <w:bCs/>
                <w:sz w:val="22"/>
                <w:szCs w:val="22"/>
                <w:lang w:val="fr-FR"/>
              </w:rPr>
              <w:t xml:space="preserve"> à forte incidence</w:t>
            </w:r>
          </w:p>
        </w:tc>
        <w:tc>
          <w:tcPr>
            <w:tcW w:w="1667" w:type="pct"/>
            <w:shd w:val="clear" w:color="auto" w:fill="EDEDED"/>
          </w:tcPr>
          <w:p w14:paraId="0D4D7A7A" w14:textId="77777777" w:rsidR="00AA4320"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personnes</w:t>
            </w:r>
            <w:proofErr w:type="gramEnd"/>
            <w:r>
              <w:rPr>
                <w:rFonts w:ascii="Calibri" w:eastAsia="Calibri" w:hAnsi="Calibri" w:cs="Calibri"/>
                <w:sz w:val="22"/>
                <w:szCs w:val="22"/>
                <w:lang w:val="fr-FR"/>
              </w:rPr>
              <w:t>/population/groupe à haut risque</w:t>
            </w:r>
          </w:p>
        </w:tc>
        <w:tc>
          <w:tcPr>
            <w:tcW w:w="1666" w:type="pct"/>
            <w:shd w:val="clear" w:color="auto" w:fill="EDEDED"/>
          </w:tcPr>
          <w:p w14:paraId="706060AD" w14:textId="726DF258" w:rsidR="00AA4320"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Les personnes et les communautés ne sont pas intrinsèquement </w:t>
            </w:r>
            <w:r w:rsidR="001A7932">
              <w:rPr>
                <w:rFonts w:ascii="Calibri" w:eastAsia="Calibri" w:hAnsi="Calibri" w:cs="Calibri"/>
                <w:sz w:val="22"/>
                <w:szCs w:val="22"/>
                <w:lang w:val="fr-FR"/>
              </w:rPr>
              <w:t>à risque</w:t>
            </w:r>
            <w:r>
              <w:rPr>
                <w:rFonts w:ascii="Calibri" w:eastAsia="Calibri" w:hAnsi="Calibri" w:cs="Calibri"/>
                <w:sz w:val="22"/>
                <w:szCs w:val="22"/>
                <w:lang w:val="fr-FR"/>
              </w:rPr>
              <w:t>. Les termes préconisés reconnaissent les défis sociétaux et reflètent avec précision la dynamique des maladies.</w:t>
            </w:r>
          </w:p>
        </w:tc>
      </w:tr>
      <w:tr w:rsidR="00896FB7" w:rsidRPr="00EE1EE3" w14:paraId="50134193" w14:textId="77777777" w:rsidTr="00040797">
        <w:tc>
          <w:tcPr>
            <w:tcW w:w="1667" w:type="pct"/>
            <w:shd w:val="clear" w:color="auto" w:fill="auto"/>
          </w:tcPr>
          <w:p w14:paraId="3F657AA5" w14:textId="77777777" w:rsidR="00AA4320"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rapports</w:t>
            </w:r>
            <w:proofErr w:type="gramEnd"/>
            <w:r>
              <w:rPr>
                <w:rFonts w:ascii="Calibri" w:eastAsia="Calibri" w:hAnsi="Calibri" w:cs="Calibri"/>
                <w:b/>
                <w:bCs/>
                <w:sz w:val="22"/>
                <w:szCs w:val="22"/>
                <w:lang w:val="fr-FR"/>
              </w:rPr>
              <w:t xml:space="preserve"> sexuels sans préservatifs </w:t>
            </w:r>
            <w:r>
              <w:rPr>
                <w:rFonts w:ascii="Calibri" w:eastAsia="Calibri" w:hAnsi="Calibri" w:cs="Calibri"/>
                <w:sz w:val="22"/>
                <w:szCs w:val="22"/>
                <w:lang w:val="fr-FR"/>
              </w:rPr>
              <w:t>ou</w:t>
            </w:r>
          </w:p>
          <w:p w14:paraId="331ED36D" w14:textId="77777777" w:rsidR="00AA4320"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rapports</w:t>
            </w:r>
            <w:proofErr w:type="gramEnd"/>
            <w:r>
              <w:rPr>
                <w:rFonts w:ascii="Calibri" w:eastAsia="Calibri" w:hAnsi="Calibri" w:cs="Calibri"/>
                <w:b/>
                <w:bCs/>
                <w:sz w:val="22"/>
                <w:szCs w:val="22"/>
                <w:lang w:val="fr-FR"/>
              </w:rPr>
              <w:t xml:space="preserve"> sexuels sans outils préventifs</w:t>
            </w:r>
          </w:p>
        </w:tc>
        <w:tc>
          <w:tcPr>
            <w:tcW w:w="1667" w:type="pct"/>
            <w:shd w:val="clear" w:color="auto" w:fill="auto"/>
          </w:tcPr>
          <w:p w14:paraId="40A1BB03" w14:textId="77777777" w:rsidR="00AA4320"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rapports</w:t>
            </w:r>
            <w:proofErr w:type="gramEnd"/>
            <w:r>
              <w:rPr>
                <w:rFonts w:ascii="Calibri" w:eastAsia="Calibri" w:hAnsi="Calibri" w:cs="Calibri"/>
                <w:sz w:val="22"/>
                <w:szCs w:val="22"/>
                <w:lang w:val="fr-FR"/>
              </w:rPr>
              <w:t xml:space="preserve"> sexuels non protégés</w:t>
            </w:r>
          </w:p>
          <w:p w14:paraId="179047B2" w14:textId="77777777" w:rsidR="00AA4320"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rapports</w:t>
            </w:r>
            <w:proofErr w:type="gramEnd"/>
            <w:r>
              <w:rPr>
                <w:rFonts w:ascii="Calibri" w:eastAsia="Calibri" w:hAnsi="Calibri" w:cs="Calibri"/>
                <w:sz w:val="22"/>
                <w:szCs w:val="22"/>
                <w:lang w:val="fr-FR"/>
              </w:rPr>
              <w:t xml:space="preserve"> sexuels sans protection</w:t>
            </w:r>
          </w:p>
        </w:tc>
        <w:tc>
          <w:tcPr>
            <w:tcW w:w="1666" w:type="pct"/>
            <w:shd w:val="clear" w:color="auto" w:fill="auto"/>
          </w:tcPr>
          <w:p w14:paraId="151B36D5" w14:textId="6494EB1E" w:rsidR="00AA4320"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Les termes préconisés sont plus spécifiques, plus précis et évitent tout jugement. Les rapports sexuels sans préservatifs peuvent toujours </w:t>
            </w:r>
            <w:r>
              <w:rPr>
                <w:rFonts w:ascii="Calibri" w:eastAsia="Calibri" w:hAnsi="Calibri" w:cs="Calibri"/>
                <w:sz w:val="22"/>
                <w:szCs w:val="22"/>
                <w:lang w:val="fr-FR"/>
              </w:rPr>
              <w:lastRenderedPageBreak/>
              <w:t xml:space="preserve">impliquer une protection de type U=U (Non détectable, non transmissible) ou </w:t>
            </w:r>
            <w:proofErr w:type="spellStart"/>
            <w:r>
              <w:rPr>
                <w:rFonts w:ascii="Calibri" w:eastAsia="Calibri" w:hAnsi="Calibri" w:cs="Calibri"/>
                <w:sz w:val="22"/>
                <w:szCs w:val="22"/>
                <w:lang w:val="fr-FR"/>
              </w:rPr>
              <w:t>PrEP</w:t>
            </w:r>
            <w:proofErr w:type="spellEnd"/>
            <w:r w:rsidR="00DB7AA6">
              <w:rPr>
                <w:rFonts w:ascii="Calibri" w:eastAsia="Calibri" w:hAnsi="Calibri" w:cs="Calibri"/>
                <w:sz w:val="22"/>
                <w:szCs w:val="22"/>
                <w:lang w:val="fr-FR"/>
              </w:rPr>
              <w:t xml:space="preserve"> (HIV Pre-</w:t>
            </w:r>
            <w:proofErr w:type="spellStart"/>
            <w:r w:rsidR="00DB7AA6">
              <w:rPr>
                <w:rFonts w:ascii="Calibri" w:eastAsia="Calibri" w:hAnsi="Calibri" w:cs="Calibri"/>
                <w:sz w:val="22"/>
                <w:szCs w:val="22"/>
                <w:lang w:val="fr-FR"/>
              </w:rPr>
              <w:t>Exposure</w:t>
            </w:r>
            <w:proofErr w:type="spellEnd"/>
            <w:r w:rsidR="00DB7AA6">
              <w:rPr>
                <w:rFonts w:ascii="Calibri" w:eastAsia="Calibri" w:hAnsi="Calibri" w:cs="Calibri"/>
                <w:sz w:val="22"/>
                <w:szCs w:val="22"/>
                <w:lang w:val="fr-FR"/>
              </w:rPr>
              <w:t xml:space="preserve"> </w:t>
            </w:r>
            <w:proofErr w:type="spellStart"/>
            <w:r w:rsidR="00DB7AA6">
              <w:rPr>
                <w:rFonts w:ascii="Calibri" w:eastAsia="Calibri" w:hAnsi="Calibri" w:cs="Calibri"/>
                <w:sz w:val="22"/>
                <w:szCs w:val="22"/>
                <w:lang w:val="fr-FR"/>
              </w:rPr>
              <w:t>Prophylayis</w:t>
            </w:r>
            <w:proofErr w:type="spellEnd"/>
            <w:r w:rsidR="00DB7AA6">
              <w:rPr>
                <w:rFonts w:ascii="Calibri" w:eastAsia="Calibri" w:hAnsi="Calibri" w:cs="Calibri"/>
                <w:sz w:val="22"/>
                <w:szCs w:val="22"/>
                <w:lang w:val="fr-FR"/>
              </w:rPr>
              <w:t xml:space="preserve"> ou prophylaxie </w:t>
            </w:r>
            <w:proofErr w:type="spellStart"/>
            <w:r w:rsidR="00DB7AA6">
              <w:rPr>
                <w:rFonts w:ascii="Calibri" w:eastAsia="Calibri" w:hAnsi="Calibri" w:cs="Calibri"/>
                <w:sz w:val="22"/>
                <w:szCs w:val="22"/>
                <w:lang w:val="fr-FR"/>
              </w:rPr>
              <w:t>pré-exposition</w:t>
            </w:r>
            <w:proofErr w:type="spellEnd"/>
            <w:r w:rsidR="00DB7AA6">
              <w:rPr>
                <w:rFonts w:ascii="Calibri" w:eastAsia="Calibri" w:hAnsi="Calibri" w:cs="Calibri"/>
                <w:sz w:val="22"/>
                <w:szCs w:val="22"/>
                <w:lang w:val="fr-FR"/>
              </w:rPr>
              <w:t xml:space="preserve"> au VIH)</w:t>
            </w:r>
            <w:r>
              <w:rPr>
                <w:rFonts w:ascii="Calibri" w:eastAsia="Calibri" w:hAnsi="Calibri" w:cs="Calibri"/>
                <w:sz w:val="22"/>
                <w:szCs w:val="22"/>
                <w:lang w:val="fr-FR"/>
              </w:rPr>
              <w:t>.</w:t>
            </w:r>
          </w:p>
        </w:tc>
      </w:tr>
      <w:tr w:rsidR="00896FB7" w:rsidRPr="00EE1EE3" w14:paraId="68E096DB" w14:textId="77777777" w:rsidTr="00040797">
        <w:tc>
          <w:tcPr>
            <w:tcW w:w="1667" w:type="pct"/>
            <w:shd w:val="clear" w:color="auto" w:fill="EDEDED"/>
          </w:tcPr>
          <w:p w14:paraId="0DC78716" w14:textId="77777777" w:rsidR="00AA4320" w:rsidRPr="00727EC8" w:rsidRDefault="007350F8" w:rsidP="00040797">
            <w:pPr>
              <w:pStyle w:val="Default"/>
              <w:spacing w:line="276" w:lineRule="auto"/>
              <w:rPr>
                <w:rFonts w:asciiTheme="minorHAnsi" w:hAnsiTheme="minorHAnsi" w:cstheme="minorHAnsi"/>
                <w:b/>
                <w:bCs/>
                <w:sz w:val="22"/>
                <w:szCs w:val="22"/>
              </w:rPr>
            </w:pPr>
            <w:proofErr w:type="gramStart"/>
            <w:r>
              <w:rPr>
                <w:rFonts w:ascii="Calibri" w:eastAsia="Calibri" w:hAnsi="Calibri" w:cs="Calibri"/>
                <w:b/>
                <w:bCs/>
                <w:sz w:val="22"/>
                <w:szCs w:val="22"/>
                <w:lang w:val="fr-FR"/>
              </w:rPr>
              <w:lastRenderedPageBreak/>
              <w:t>transmission</w:t>
            </w:r>
            <w:proofErr w:type="gramEnd"/>
            <w:r>
              <w:rPr>
                <w:rFonts w:ascii="Calibri" w:eastAsia="Calibri" w:hAnsi="Calibri" w:cs="Calibri"/>
                <w:b/>
                <w:bCs/>
                <w:sz w:val="22"/>
                <w:szCs w:val="22"/>
                <w:lang w:val="fr-FR"/>
              </w:rPr>
              <w:t xml:space="preserve"> périnatale</w:t>
            </w:r>
          </w:p>
          <w:p w14:paraId="3A9612EF" w14:textId="77777777" w:rsidR="00AA4320"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transmission</w:t>
            </w:r>
            <w:proofErr w:type="gramEnd"/>
            <w:r>
              <w:rPr>
                <w:rFonts w:ascii="Calibri" w:eastAsia="Calibri" w:hAnsi="Calibri" w:cs="Calibri"/>
                <w:b/>
                <w:bCs/>
                <w:sz w:val="22"/>
                <w:szCs w:val="22"/>
                <w:lang w:val="fr-FR"/>
              </w:rPr>
              <w:t xml:space="preserve"> verticale</w:t>
            </w:r>
          </w:p>
        </w:tc>
        <w:tc>
          <w:tcPr>
            <w:tcW w:w="1667" w:type="pct"/>
            <w:shd w:val="clear" w:color="auto" w:fill="EDEDED"/>
          </w:tcPr>
          <w:p w14:paraId="2A6140A7" w14:textId="77777777" w:rsidR="00570222"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transmission</w:t>
            </w:r>
            <w:proofErr w:type="gramEnd"/>
            <w:r>
              <w:rPr>
                <w:rFonts w:ascii="Calibri" w:eastAsia="Calibri" w:hAnsi="Calibri" w:cs="Calibri"/>
                <w:sz w:val="22"/>
                <w:szCs w:val="22"/>
                <w:lang w:val="fr-FR"/>
              </w:rPr>
              <w:t xml:space="preserve"> mère-enfant</w:t>
            </w:r>
          </w:p>
        </w:tc>
        <w:tc>
          <w:tcPr>
            <w:tcW w:w="1666" w:type="pct"/>
            <w:shd w:val="clear" w:color="auto" w:fill="EDEDED"/>
          </w:tcPr>
          <w:p w14:paraId="6FFA1ABC" w14:textId="77777777" w:rsidR="00AA4320"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Les termes préconisés ne rejettent pas la faute sur les femmes.</w:t>
            </w:r>
          </w:p>
        </w:tc>
      </w:tr>
    </w:tbl>
    <w:p w14:paraId="0B083371" w14:textId="77777777" w:rsidR="00581579" w:rsidRPr="00D15745" w:rsidRDefault="00581579" w:rsidP="00417223">
      <w:pPr>
        <w:spacing w:after="0" w:line="276" w:lineRule="auto"/>
        <w:rPr>
          <w:rFonts w:cstheme="minorHAnsi"/>
          <w:lang w:val="fr-FR"/>
        </w:rPr>
      </w:pPr>
    </w:p>
    <w:p w14:paraId="54AA2E65" w14:textId="77777777" w:rsidR="00581579" w:rsidRPr="00D15745" w:rsidRDefault="00581579" w:rsidP="00417223">
      <w:pPr>
        <w:spacing w:after="0" w:line="276" w:lineRule="auto"/>
        <w:rPr>
          <w:rFonts w:cstheme="minorHAnsi"/>
          <w:lang w:val="fr-FR"/>
        </w:rPr>
        <w:sectPr w:rsidR="00581579" w:rsidRPr="00D15745" w:rsidSect="00F50A2F">
          <w:headerReference w:type="default" r:id="rId37"/>
          <w:headerReference w:type="first" r:id="rId38"/>
          <w:pgSz w:w="12240" w:h="15840"/>
          <w:pgMar w:top="1440" w:right="1440" w:bottom="1440" w:left="1440" w:header="720" w:footer="720" w:gutter="0"/>
          <w:cols w:space="720"/>
          <w:docGrid w:linePitch="360"/>
        </w:sectPr>
      </w:pPr>
    </w:p>
    <w:p w14:paraId="1FC2C950" w14:textId="4CBC219A" w:rsidR="00142722" w:rsidRPr="00D15745" w:rsidRDefault="007350F8" w:rsidP="00821716">
      <w:pPr>
        <w:pStyle w:val="Heading1"/>
        <w:rPr>
          <w:lang w:val="fr-FR"/>
        </w:rPr>
      </w:pPr>
      <w:bookmarkStart w:id="5" w:name="_Toc39003304"/>
      <w:r>
        <w:rPr>
          <w:rFonts w:ascii="Calibri" w:eastAsia="Calibri" w:hAnsi="Calibri" w:cs="Calibri"/>
          <w:bCs/>
          <w:lang w:val="fr-FR"/>
        </w:rPr>
        <w:lastRenderedPageBreak/>
        <w:t>Terminologie de base sur le VIH</w:t>
      </w:r>
      <w:bookmarkEnd w:id="5"/>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896FB7" w14:paraId="181C87E8" w14:textId="77777777" w:rsidTr="00040797">
        <w:trPr>
          <w:tblHeader/>
        </w:trPr>
        <w:tc>
          <w:tcPr>
            <w:tcW w:w="1667" w:type="pct"/>
            <w:tcBorders>
              <w:top w:val="nil"/>
              <w:left w:val="nil"/>
              <w:bottom w:val="single" w:sz="18" w:space="0" w:color="C9C9C9"/>
            </w:tcBorders>
          </w:tcPr>
          <w:p w14:paraId="0EB1B5C4" w14:textId="77777777" w:rsidR="00AA4320" w:rsidRPr="00727EC8" w:rsidRDefault="007350F8"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fr-FR"/>
              </w:rPr>
              <w:t>Essayez plutôt ceci…</w:t>
            </w:r>
          </w:p>
        </w:tc>
        <w:tc>
          <w:tcPr>
            <w:tcW w:w="1667" w:type="pct"/>
            <w:tcBorders>
              <w:top w:val="nil"/>
              <w:bottom w:val="single" w:sz="18" w:space="0" w:color="C9C9C9"/>
            </w:tcBorders>
          </w:tcPr>
          <w:p w14:paraId="5296E06A" w14:textId="77777777" w:rsidR="00AA4320" w:rsidRPr="00727EC8" w:rsidRDefault="007350F8"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fr-FR"/>
              </w:rPr>
              <w:t>Au lieu de cela…</w:t>
            </w:r>
          </w:p>
        </w:tc>
        <w:tc>
          <w:tcPr>
            <w:tcW w:w="1666" w:type="pct"/>
            <w:tcBorders>
              <w:top w:val="nil"/>
              <w:bottom w:val="single" w:sz="18" w:space="0" w:color="C9C9C9"/>
              <w:right w:val="nil"/>
            </w:tcBorders>
          </w:tcPr>
          <w:p w14:paraId="012C35E7" w14:textId="77777777" w:rsidR="00AA4320" w:rsidRPr="00727EC8" w:rsidRDefault="007350F8"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fr-FR"/>
              </w:rPr>
              <w:t>Parce que...</w:t>
            </w:r>
          </w:p>
        </w:tc>
      </w:tr>
      <w:tr w:rsidR="00896FB7" w:rsidRPr="00EE1EE3" w14:paraId="44F12CAD" w14:textId="77777777" w:rsidTr="00040797">
        <w:tc>
          <w:tcPr>
            <w:tcW w:w="1667" w:type="pct"/>
            <w:tcBorders>
              <w:top w:val="single" w:sz="18" w:space="0" w:color="C9C9C9"/>
            </w:tcBorders>
            <w:shd w:val="clear" w:color="auto" w:fill="EDEDED"/>
          </w:tcPr>
          <w:p w14:paraId="19969079" w14:textId="77777777" w:rsidR="00AA4320" w:rsidRPr="00727EC8" w:rsidRDefault="007350F8" w:rsidP="00040797">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fr-FR"/>
              </w:rPr>
              <w:t>VIH</w:t>
            </w:r>
          </w:p>
        </w:tc>
        <w:tc>
          <w:tcPr>
            <w:tcW w:w="1667" w:type="pct"/>
            <w:tcBorders>
              <w:top w:val="single" w:sz="18" w:space="0" w:color="C9C9C9"/>
            </w:tcBorders>
            <w:shd w:val="clear" w:color="auto" w:fill="EDEDED"/>
          </w:tcPr>
          <w:p w14:paraId="403131FC" w14:textId="77777777" w:rsidR="00AA4320" w:rsidRPr="00727EC8" w:rsidRDefault="007350F8"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fr-FR"/>
              </w:rPr>
              <w:t>VIH/SIDA</w:t>
            </w:r>
          </w:p>
        </w:tc>
        <w:tc>
          <w:tcPr>
            <w:tcW w:w="1666" w:type="pct"/>
            <w:tcBorders>
              <w:top w:val="single" w:sz="18" w:space="0" w:color="C9C9C9"/>
            </w:tcBorders>
            <w:shd w:val="clear" w:color="auto" w:fill="EDEDED"/>
          </w:tcPr>
          <w:p w14:paraId="3A575F56" w14:textId="77777777" w:rsidR="00AA4320"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Le terme « sida » évoque la souffrance et la mort et ne doit être utilisé que pour décrire spécifiquement la maladie. Le VIH englobe à la fois le VIH et le sida lorsque la référence n'est pas explicite, comme dans « l'épidémie de VIH ».</w:t>
            </w:r>
          </w:p>
        </w:tc>
      </w:tr>
      <w:tr w:rsidR="00896FB7" w:rsidRPr="00EE1EE3" w14:paraId="5C20D775" w14:textId="77777777" w:rsidTr="00040797">
        <w:tc>
          <w:tcPr>
            <w:tcW w:w="1667" w:type="pct"/>
          </w:tcPr>
          <w:p w14:paraId="734BB8CB" w14:textId="77777777" w:rsidR="00E81653" w:rsidRPr="00D15745" w:rsidRDefault="007350F8" w:rsidP="00040797">
            <w:pPr>
              <w:pStyle w:val="Default"/>
              <w:spacing w:line="276" w:lineRule="auto"/>
              <w:rPr>
                <w:rFonts w:asciiTheme="minorHAnsi" w:hAnsiTheme="minorHAnsi" w:cstheme="minorHAnsi"/>
                <w:sz w:val="22"/>
                <w:szCs w:val="22"/>
                <w:lang w:val="fr-FR"/>
              </w:rPr>
            </w:pPr>
            <w:r>
              <w:rPr>
                <w:rFonts w:ascii="Calibri" w:eastAsia="Calibri" w:hAnsi="Calibri" w:cs="Calibri"/>
                <w:b/>
                <w:bCs/>
                <w:sz w:val="22"/>
                <w:szCs w:val="22"/>
                <w:lang w:val="fr-FR"/>
              </w:rPr>
              <w:t>VIH</w:t>
            </w:r>
          </w:p>
          <w:p w14:paraId="3AFD3CAE" w14:textId="77777777" w:rsidR="00E81653"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virus</w:t>
            </w:r>
            <w:proofErr w:type="gramEnd"/>
            <w:r>
              <w:rPr>
                <w:rFonts w:ascii="Calibri" w:eastAsia="Calibri" w:hAnsi="Calibri" w:cs="Calibri"/>
                <w:b/>
                <w:bCs/>
                <w:sz w:val="22"/>
                <w:szCs w:val="22"/>
                <w:lang w:val="fr-FR"/>
              </w:rPr>
              <w:t xml:space="preserve"> de l'immunodéficience humaine</w:t>
            </w:r>
          </w:p>
        </w:tc>
        <w:tc>
          <w:tcPr>
            <w:tcW w:w="1667" w:type="pct"/>
          </w:tcPr>
          <w:p w14:paraId="200DBFA5" w14:textId="77777777" w:rsidR="00E81653" w:rsidRPr="00727EC8" w:rsidRDefault="007350F8"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fr-FR"/>
              </w:rPr>
              <w:t>Infection par le VIH</w:t>
            </w:r>
          </w:p>
        </w:tc>
        <w:tc>
          <w:tcPr>
            <w:tcW w:w="1666" w:type="pct"/>
            <w:vMerge w:val="restart"/>
          </w:tcPr>
          <w:p w14:paraId="4A7DEE03" w14:textId="77777777" w:rsidR="00E81653"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Infection » stigmatise les personnes en les désignant comme contagieuses, une menace, ou impures. Les défenseurs des personnes ayant contracté le VIH soulignent fréquemment les conséquences néfastes de l’utilisation de ce terme.</w:t>
            </w:r>
          </w:p>
        </w:tc>
      </w:tr>
      <w:tr w:rsidR="00896FB7" w:rsidRPr="00EE1EE3" w14:paraId="0E581978" w14:textId="77777777" w:rsidTr="00040797">
        <w:tc>
          <w:tcPr>
            <w:tcW w:w="1667" w:type="pct"/>
          </w:tcPr>
          <w:p w14:paraId="72F692B2" w14:textId="77777777" w:rsidR="00E81653"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transmissions</w:t>
            </w:r>
            <w:proofErr w:type="gramEnd"/>
            <w:r>
              <w:rPr>
                <w:rFonts w:ascii="Calibri" w:eastAsia="Calibri" w:hAnsi="Calibri" w:cs="Calibri"/>
                <w:b/>
                <w:bCs/>
                <w:sz w:val="22"/>
                <w:szCs w:val="22"/>
                <w:lang w:val="fr-FR"/>
              </w:rPr>
              <w:t xml:space="preserve"> du VIH</w:t>
            </w:r>
          </w:p>
          <w:p w14:paraId="7866A5C8" w14:textId="400CC79F" w:rsidR="00E81653" w:rsidRPr="00D15745" w:rsidRDefault="00711AD6"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nouveaux</w:t>
            </w:r>
            <w:proofErr w:type="gramEnd"/>
            <w:r>
              <w:rPr>
                <w:rFonts w:ascii="Calibri" w:eastAsia="Calibri" w:hAnsi="Calibri" w:cs="Calibri"/>
                <w:b/>
                <w:bCs/>
                <w:sz w:val="22"/>
                <w:szCs w:val="22"/>
                <w:lang w:val="fr-FR"/>
              </w:rPr>
              <w:t xml:space="preserve"> diagnostics du VIH</w:t>
            </w:r>
          </w:p>
        </w:tc>
        <w:tc>
          <w:tcPr>
            <w:tcW w:w="1667" w:type="pct"/>
          </w:tcPr>
          <w:p w14:paraId="14F2D1E2" w14:textId="77777777" w:rsidR="00E81653"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nouvelles</w:t>
            </w:r>
            <w:proofErr w:type="gramEnd"/>
            <w:r>
              <w:rPr>
                <w:rFonts w:ascii="Calibri" w:eastAsia="Calibri" w:hAnsi="Calibri" w:cs="Calibri"/>
                <w:sz w:val="22"/>
                <w:szCs w:val="22"/>
                <w:lang w:val="fr-FR"/>
              </w:rPr>
              <w:t xml:space="preserve"> infections par le VIH</w:t>
            </w:r>
          </w:p>
        </w:tc>
        <w:tc>
          <w:tcPr>
            <w:tcW w:w="1666" w:type="pct"/>
            <w:vMerge/>
          </w:tcPr>
          <w:p w14:paraId="426A980E" w14:textId="77777777" w:rsidR="00E81653" w:rsidRPr="00D15745" w:rsidRDefault="00E81653" w:rsidP="00040797">
            <w:pPr>
              <w:pStyle w:val="Default"/>
              <w:spacing w:after="120" w:line="276" w:lineRule="auto"/>
              <w:rPr>
                <w:rFonts w:asciiTheme="minorHAnsi" w:hAnsiTheme="minorHAnsi" w:cstheme="minorHAnsi"/>
                <w:sz w:val="22"/>
                <w:szCs w:val="22"/>
                <w:lang w:val="fr-FR"/>
              </w:rPr>
            </w:pPr>
          </w:p>
        </w:tc>
      </w:tr>
      <w:tr w:rsidR="00896FB7" w14:paraId="5350B049" w14:textId="77777777" w:rsidTr="00040797">
        <w:tc>
          <w:tcPr>
            <w:tcW w:w="1667" w:type="pct"/>
          </w:tcPr>
          <w:p w14:paraId="64D5D5E7" w14:textId="77777777" w:rsidR="00E81653" w:rsidRPr="00727EC8" w:rsidRDefault="007350F8" w:rsidP="00040797">
            <w:pPr>
              <w:pStyle w:val="Default"/>
              <w:spacing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transmettre</w:t>
            </w:r>
            <w:proofErr w:type="gramEnd"/>
          </w:p>
        </w:tc>
        <w:tc>
          <w:tcPr>
            <w:tcW w:w="1667" w:type="pct"/>
          </w:tcPr>
          <w:p w14:paraId="7A7BD96E" w14:textId="77777777" w:rsidR="00E81653" w:rsidRPr="00727EC8" w:rsidRDefault="007350F8" w:rsidP="00040797">
            <w:pPr>
              <w:pStyle w:val="Default"/>
              <w:spacing w:line="276" w:lineRule="auto"/>
              <w:rPr>
                <w:rFonts w:asciiTheme="minorHAnsi" w:hAnsiTheme="minorHAnsi" w:cstheme="minorHAnsi"/>
                <w:sz w:val="22"/>
                <w:szCs w:val="22"/>
              </w:rPr>
            </w:pPr>
            <w:proofErr w:type="gramStart"/>
            <w:r>
              <w:rPr>
                <w:rFonts w:ascii="Calibri" w:eastAsia="Calibri" w:hAnsi="Calibri" w:cs="Calibri"/>
                <w:sz w:val="22"/>
                <w:szCs w:val="22"/>
                <w:lang w:val="fr-FR"/>
              </w:rPr>
              <w:t>infecter</w:t>
            </w:r>
            <w:proofErr w:type="gramEnd"/>
          </w:p>
        </w:tc>
        <w:tc>
          <w:tcPr>
            <w:tcW w:w="1666" w:type="pct"/>
            <w:vMerge/>
          </w:tcPr>
          <w:p w14:paraId="7C513AFB"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896FB7" w14:paraId="547ABC27" w14:textId="77777777" w:rsidTr="00040797">
        <w:trPr>
          <w:trHeight w:val="80"/>
        </w:trPr>
        <w:tc>
          <w:tcPr>
            <w:tcW w:w="1667" w:type="pct"/>
          </w:tcPr>
          <w:p w14:paraId="5987B929" w14:textId="77777777" w:rsidR="00E81653"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a</w:t>
            </w:r>
            <w:proofErr w:type="gramEnd"/>
            <w:r>
              <w:rPr>
                <w:rFonts w:ascii="Calibri" w:eastAsia="Calibri" w:hAnsi="Calibri" w:cs="Calibri"/>
                <w:b/>
                <w:bCs/>
                <w:sz w:val="22"/>
                <w:szCs w:val="22"/>
                <w:lang w:val="fr-FR"/>
              </w:rPr>
              <w:t xml:space="preserve"> contracté</w:t>
            </w:r>
          </w:p>
        </w:tc>
        <w:tc>
          <w:tcPr>
            <w:tcW w:w="1667" w:type="pct"/>
          </w:tcPr>
          <w:p w14:paraId="46D72F2A" w14:textId="77777777" w:rsidR="00E81653"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a</w:t>
            </w:r>
            <w:proofErr w:type="gramEnd"/>
            <w:r>
              <w:rPr>
                <w:rFonts w:ascii="Calibri" w:eastAsia="Calibri" w:hAnsi="Calibri" w:cs="Calibri"/>
                <w:sz w:val="22"/>
                <w:szCs w:val="22"/>
                <w:lang w:val="fr-FR"/>
              </w:rPr>
              <w:t xml:space="preserve"> été infecté</w:t>
            </w:r>
          </w:p>
        </w:tc>
        <w:tc>
          <w:tcPr>
            <w:tcW w:w="1666" w:type="pct"/>
            <w:vMerge/>
          </w:tcPr>
          <w:p w14:paraId="48392CDB"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896FB7" w:rsidRPr="00EE1EE3" w14:paraId="6F8895E1" w14:textId="77777777" w:rsidTr="00040797">
        <w:tc>
          <w:tcPr>
            <w:tcW w:w="1667" w:type="pct"/>
          </w:tcPr>
          <w:p w14:paraId="039101E8" w14:textId="77777777" w:rsidR="00E81653"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prévient</w:t>
            </w:r>
            <w:proofErr w:type="gramEnd"/>
            <w:r>
              <w:rPr>
                <w:rFonts w:ascii="Calibri" w:eastAsia="Calibri" w:hAnsi="Calibri" w:cs="Calibri"/>
                <w:b/>
                <w:bCs/>
                <w:sz w:val="22"/>
                <w:szCs w:val="22"/>
                <w:lang w:val="fr-FR"/>
              </w:rPr>
              <w:t xml:space="preserve"> le VIH</w:t>
            </w:r>
          </w:p>
          <w:p w14:paraId="6D02DDAC" w14:textId="77777777" w:rsidR="00E81653"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empêche</w:t>
            </w:r>
            <w:proofErr w:type="gramEnd"/>
            <w:r>
              <w:rPr>
                <w:rFonts w:ascii="Calibri" w:eastAsia="Calibri" w:hAnsi="Calibri" w:cs="Calibri"/>
                <w:b/>
                <w:bCs/>
                <w:sz w:val="22"/>
                <w:szCs w:val="22"/>
                <w:lang w:val="fr-FR"/>
              </w:rPr>
              <w:t xml:space="preserve"> la transmission du VIH</w:t>
            </w:r>
          </w:p>
          <w:p w14:paraId="21FEF8C3" w14:textId="77777777" w:rsidR="00E81653"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empêche</w:t>
            </w:r>
            <w:proofErr w:type="gramEnd"/>
            <w:r>
              <w:rPr>
                <w:rFonts w:ascii="Calibri" w:eastAsia="Calibri" w:hAnsi="Calibri" w:cs="Calibri"/>
                <w:b/>
                <w:bCs/>
                <w:sz w:val="22"/>
                <w:szCs w:val="22"/>
                <w:lang w:val="fr-FR"/>
              </w:rPr>
              <w:t xml:space="preserve"> de contracter le VIH</w:t>
            </w:r>
          </w:p>
        </w:tc>
        <w:tc>
          <w:tcPr>
            <w:tcW w:w="1667" w:type="pct"/>
          </w:tcPr>
          <w:p w14:paraId="4D9A0C42" w14:textId="77777777" w:rsidR="00E81653"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empêche</w:t>
            </w:r>
            <w:proofErr w:type="gramEnd"/>
            <w:r>
              <w:rPr>
                <w:rFonts w:ascii="Calibri" w:eastAsia="Calibri" w:hAnsi="Calibri" w:cs="Calibri"/>
                <w:sz w:val="22"/>
                <w:szCs w:val="22"/>
                <w:lang w:val="fr-FR"/>
              </w:rPr>
              <w:t xml:space="preserve"> l'infection par le VIH</w:t>
            </w:r>
          </w:p>
        </w:tc>
        <w:tc>
          <w:tcPr>
            <w:tcW w:w="1666" w:type="pct"/>
            <w:vMerge/>
          </w:tcPr>
          <w:p w14:paraId="29D51B64" w14:textId="77777777" w:rsidR="00E81653" w:rsidRPr="00D15745" w:rsidRDefault="00E81653" w:rsidP="00040797">
            <w:pPr>
              <w:pStyle w:val="Default"/>
              <w:spacing w:after="120" w:line="276" w:lineRule="auto"/>
              <w:rPr>
                <w:rFonts w:asciiTheme="minorHAnsi" w:hAnsiTheme="minorHAnsi" w:cstheme="minorHAnsi"/>
                <w:sz w:val="22"/>
                <w:szCs w:val="22"/>
                <w:lang w:val="fr-FR"/>
              </w:rPr>
            </w:pPr>
          </w:p>
        </w:tc>
      </w:tr>
      <w:tr w:rsidR="00896FB7" w:rsidRPr="00EE1EE3" w14:paraId="1A6B88CA" w14:textId="77777777" w:rsidTr="00040797">
        <w:tc>
          <w:tcPr>
            <w:tcW w:w="1667" w:type="pct"/>
            <w:shd w:val="clear" w:color="auto" w:fill="EDEDED"/>
          </w:tcPr>
          <w:p w14:paraId="65EACEAC" w14:textId="77777777" w:rsidR="00E81653" w:rsidRPr="00D15745" w:rsidRDefault="007350F8" w:rsidP="00040797">
            <w:pPr>
              <w:pStyle w:val="Default"/>
              <w:spacing w:after="120" w:line="276" w:lineRule="auto"/>
              <w:rPr>
                <w:rFonts w:asciiTheme="minorHAnsi" w:hAnsiTheme="minorHAnsi" w:cstheme="minorHAnsi"/>
                <w:b/>
                <w:bCs/>
                <w:sz w:val="22"/>
                <w:szCs w:val="22"/>
                <w:lang w:val="fr-FR"/>
              </w:rPr>
            </w:pPr>
            <w:proofErr w:type="gramStart"/>
            <w:r>
              <w:rPr>
                <w:rFonts w:ascii="Calibri" w:eastAsia="Calibri" w:hAnsi="Calibri" w:cs="Calibri"/>
                <w:b/>
                <w:bCs/>
                <w:sz w:val="22"/>
                <w:szCs w:val="22"/>
                <w:lang w:val="fr-FR"/>
              </w:rPr>
              <w:t>personnes</w:t>
            </w:r>
            <w:proofErr w:type="gramEnd"/>
            <w:r>
              <w:rPr>
                <w:rFonts w:ascii="Calibri" w:eastAsia="Calibri" w:hAnsi="Calibri" w:cs="Calibri"/>
                <w:b/>
                <w:bCs/>
                <w:sz w:val="22"/>
                <w:szCs w:val="22"/>
                <w:lang w:val="fr-FR"/>
              </w:rPr>
              <w:t xml:space="preserve"> vivant avec le VIH</w:t>
            </w:r>
          </w:p>
        </w:tc>
        <w:tc>
          <w:tcPr>
            <w:tcW w:w="1667" w:type="pct"/>
            <w:shd w:val="clear" w:color="auto" w:fill="EDEDED"/>
          </w:tcPr>
          <w:p w14:paraId="7C079916" w14:textId="77777777" w:rsidR="00E81653" w:rsidRPr="00D15745" w:rsidRDefault="007350F8" w:rsidP="00040797">
            <w:pPr>
              <w:pStyle w:val="Default"/>
              <w:spacing w:line="276" w:lineRule="auto"/>
              <w:rPr>
                <w:rFonts w:asciiTheme="minorHAnsi" w:hAnsiTheme="minorHAnsi" w:cstheme="minorHAnsi"/>
                <w:b/>
                <w:sz w:val="22"/>
                <w:szCs w:val="22"/>
                <w:lang w:val="fr-FR"/>
              </w:rPr>
            </w:pPr>
            <w:proofErr w:type="gramStart"/>
            <w:r>
              <w:rPr>
                <w:rFonts w:ascii="Calibri" w:eastAsia="Calibri" w:hAnsi="Calibri" w:cs="Calibri"/>
                <w:sz w:val="22"/>
                <w:szCs w:val="22"/>
                <w:lang w:val="fr-FR"/>
              </w:rPr>
              <w:t>personnes</w:t>
            </w:r>
            <w:proofErr w:type="gramEnd"/>
            <w:r>
              <w:rPr>
                <w:rFonts w:ascii="Calibri" w:eastAsia="Calibri" w:hAnsi="Calibri" w:cs="Calibri"/>
                <w:sz w:val="22"/>
                <w:szCs w:val="22"/>
                <w:lang w:val="fr-FR"/>
              </w:rPr>
              <w:t xml:space="preserve"> infectées par le VIH</w:t>
            </w:r>
          </w:p>
          <w:p w14:paraId="4A88E3D1" w14:textId="77777777" w:rsidR="00E81653"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personnes</w:t>
            </w:r>
            <w:proofErr w:type="gramEnd"/>
            <w:r>
              <w:rPr>
                <w:rFonts w:ascii="Calibri" w:eastAsia="Calibri" w:hAnsi="Calibri" w:cs="Calibri"/>
                <w:sz w:val="22"/>
                <w:szCs w:val="22"/>
                <w:lang w:val="fr-FR"/>
              </w:rPr>
              <w:t xml:space="preserve"> séropositives</w:t>
            </w:r>
          </w:p>
          <w:p w14:paraId="0098A877" w14:textId="77777777" w:rsidR="00E81653"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sidaïques</w:t>
            </w:r>
            <w:proofErr w:type="gramEnd"/>
          </w:p>
          <w:p w14:paraId="7B83810B" w14:textId="77777777" w:rsidR="00E81653"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porteurs</w:t>
            </w:r>
            <w:proofErr w:type="gramEnd"/>
            <w:r>
              <w:rPr>
                <w:rFonts w:ascii="Calibri" w:eastAsia="Calibri" w:hAnsi="Calibri" w:cs="Calibri"/>
                <w:sz w:val="22"/>
                <w:szCs w:val="22"/>
                <w:lang w:val="fr-FR"/>
              </w:rPr>
              <w:t xml:space="preserve"> du VIH</w:t>
            </w:r>
          </w:p>
          <w:p w14:paraId="7EFA7C74" w14:textId="77777777" w:rsidR="00E81653"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personnes</w:t>
            </w:r>
            <w:proofErr w:type="gramEnd"/>
            <w:r>
              <w:rPr>
                <w:rFonts w:ascii="Calibri" w:eastAsia="Calibri" w:hAnsi="Calibri" w:cs="Calibri"/>
                <w:sz w:val="22"/>
                <w:szCs w:val="22"/>
                <w:lang w:val="fr-FR"/>
              </w:rPr>
              <w:t xml:space="preserve"> infectées par le VIH</w:t>
            </w:r>
          </w:p>
        </w:tc>
        <w:tc>
          <w:tcPr>
            <w:tcW w:w="1666" w:type="pct"/>
            <w:vMerge w:val="restart"/>
            <w:shd w:val="clear" w:color="auto" w:fill="EDEDED"/>
          </w:tcPr>
          <w:p w14:paraId="6A856473" w14:textId="77777777" w:rsidR="00E81653"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Le langage axé sur la personne met l'accent sur l'humanité de celle-ci. « Vivre avec » est une affirmation privilégiée par de nombreux militants. « Les personnes vivant avec le VIH » est également acceptable. L'expression « personnes séropositives » n'est généralement pas préconisée mais elle est toujours utilisée par certains membres de la communauté. Le terme « </w:t>
            </w:r>
            <w:proofErr w:type="spellStart"/>
            <w:r>
              <w:rPr>
                <w:rFonts w:ascii="Calibri" w:eastAsia="Calibri" w:hAnsi="Calibri" w:cs="Calibri"/>
                <w:sz w:val="22"/>
                <w:szCs w:val="22"/>
                <w:lang w:val="fr-FR"/>
              </w:rPr>
              <w:t>Poz</w:t>
            </w:r>
            <w:proofErr w:type="spellEnd"/>
            <w:r>
              <w:rPr>
                <w:rFonts w:ascii="Calibri" w:eastAsia="Calibri" w:hAnsi="Calibri" w:cs="Calibri"/>
                <w:sz w:val="22"/>
                <w:szCs w:val="22"/>
                <w:lang w:val="fr-FR"/>
              </w:rPr>
              <w:t> » est aussi parfois employé par certains membres de la communauté.</w:t>
            </w:r>
          </w:p>
        </w:tc>
      </w:tr>
      <w:tr w:rsidR="00896FB7" w:rsidRPr="00EE1EE3" w14:paraId="01A21432" w14:textId="77777777" w:rsidTr="00040797">
        <w:tc>
          <w:tcPr>
            <w:tcW w:w="1667" w:type="pct"/>
            <w:shd w:val="clear" w:color="auto" w:fill="EDEDED"/>
          </w:tcPr>
          <w:p w14:paraId="2A6B6E46" w14:textId="77777777" w:rsidR="00E81653"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personnes</w:t>
            </w:r>
            <w:proofErr w:type="gramEnd"/>
            <w:r>
              <w:rPr>
                <w:rFonts w:ascii="Calibri" w:eastAsia="Calibri" w:hAnsi="Calibri" w:cs="Calibri"/>
                <w:b/>
                <w:bCs/>
                <w:sz w:val="22"/>
                <w:szCs w:val="22"/>
                <w:lang w:val="fr-FR"/>
              </w:rPr>
              <w:t xml:space="preserve"> sans VIH</w:t>
            </w:r>
          </w:p>
        </w:tc>
        <w:tc>
          <w:tcPr>
            <w:tcW w:w="1667" w:type="pct"/>
            <w:shd w:val="clear" w:color="auto" w:fill="EDEDED"/>
          </w:tcPr>
          <w:p w14:paraId="76723271" w14:textId="77777777" w:rsidR="00E81653"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personnes</w:t>
            </w:r>
            <w:proofErr w:type="gramEnd"/>
            <w:r>
              <w:rPr>
                <w:rFonts w:ascii="Calibri" w:eastAsia="Calibri" w:hAnsi="Calibri" w:cs="Calibri"/>
                <w:sz w:val="22"/>
                <w:szCs w:val="22"/>
                <w:lang w:val="fr-FR"/>
              </w:rPr>
              <w:t xml:space="preserve"> non infectées par le VIH</w:t>
            </w:r>
          </w:p>
        </w:tc>
        <w:tc>
          <w:tcPr>
            <w:tcW w:w="1666" w:type="pct"/>
            <w:vMerge/>
            <w:shd w:val="clear" w:color="auto" w:fill="EDEDED"/>
          </w:tcPr>
          <w:p w14:paraId="1606100A" w14:textId="77777777" w:rsidR="00E81653" w:rsidRPr="00D15745" w:rsidRDefault="00E81653" w:rsidP="00040797">
            <w:pPr>
              <w:pStyle w:val="Default"/>
              <w:spacing w:after="120" w:line="276" w:lineRule="auto"/>
              <w:rPr>
                <w:rFonts w:asciiTheme="minorHAnsi" w:hAnsiTheme="minorHAnsi" w:cstheme="minorHAnsi"/>
                <w:sz w:val="22"/>
                <w:szCs w:val="22"/>
                <w:lang w:val="fr-FR"/>
              </w:rPr>
            </w:pPr>
          </w:p>
        </w:tc>
      </w:tr>
      <w:tr w:rsidR="00896FB7" w:rsidRPr="00EE1EE3" w14:paraId="1F50B8E7" w14:textId="77777777" w:rsidTr="00040797">
        <w:tc>
          <w:tcPr>
            <w:tcW w:w="1667" w:type="pct"/>
          </w:tcPr>
          <w:p w14:paraId="41ED7D5C" w14:textId="77777777" w:rsidR="00AA4320" w:rsidRPr="00D15745" w:rsidRDefault="007350F8" w:rsidP="00040797">
            <w:pPr>
              <w:pStyle w:val="Default"/>
              <w:spacing w:after="120" w:line="276" w:lineRule="auto"/>
              <w:rPr>
                <w:rFonts w:asciiTheme="minorHAnsi" w:hAnsiTheme="minorHAnsi" w:cstheme="minorHAnsi"/>
                <w:sz w:val="22"/>
                <w:szCs w:val="22"/>
                <w:lang w:val="fr-FR"/>
              </w:rPr>
            </w:pPr>
            <w:proofErr w:type="gramStart"/>
            <w:r w:rsidRPr="00F113F5">
              <w:rPr>
                <w:rFonts w:ascii="Calibri" w:eastAsia="Calibri" w:hAnsi="Calibri" w:cs="Calibri"/>
                <w:b/>
                <w:bCs/>
                <w:sz w:val="22"/>
                <w:szCs w:val="22"/>
                <w:lang w:val="fr-FR"/>
              </w:rPr>
              <w:lastRenderedPageBreak/>
              <w:t>décédé</w:t>
            </w:r>
            <w:proofErr w:type="gramEnd"/>
            <w:r>
              <w:rPr>
                <w:rFonts w:ascii="Calibri" w:eastAsia="Calibri" w:hAnsi="Calibri" w:cs="Calibri"/>
                <w:b/>
                <w:bCs/>
                <w:sz w:val="22"/>
                <w:szCs w:val="22"/>
                <w:lang w:val="fr-FR"/>
              </w:rPr>
              <w:t xml:space="preserve"> de complications liées au VIH </w:t>
            </w:r>
            <w:r>
              <w:rPr>
                <w:rFonts w:ascii="Calibri" w:eastAsia="Calibri" w:hAnsi="Calibri" w:cs="Calibri"/>
                <w:sz w:val="22"/>
                <w:szCs w:val="22"/>
                <w:lang w:val="fr-FR"/>
              </w:rPr>
              <w:t xml:space="preserve">ou </w:t>
            </w:r>
            <w:r w:rsidRPr="00F113F5">
              <w:rPr>
                <w:rFonts w:ascii="Calibri" w:eastAsia="Calibri" w:hAnsi="Calibri" w:cs="Calibri"/>
                <w:b/>
                <w:bCs/>
                <w:sz w:val="22"/>
                <w:szCs w:val="22"/>
                <w:lang w:val="fr-FR"/>
              </w:rPr>
              <w:t>décédé</w:t>
            </w:r>
            <w:r>
              <w:rPr>
                <w:rFonts w:ascii="Calibri" w:eastAsia="Calibri" w:hAnsi="Calibri" w:cs="Calibri"/>
                <w:b/>
                <w:bCs/>
                <w:sz w:val="22"/>
                <w:szCs w:val="22"/>
                <w:lang w:val="fr-FR"/>
              </w:rPr>
              <w:t xml:space="preserve"> d'une maladie liée au sida</w:t>
            </w:r>
          </w:p>
        </w:tc>
        <w:tc>
          <w:tcPr>
            <w:tcW w:w="1667" w:type="pct"/>
          </w:tcPr>
          <w:p w14:paraId="4EEEF8EE" w14:textId="77777777" w:rsidR="00AA4320"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mort</w:t>
            </w:r>
            <w:proofErr w:type="gramEnd"/>
            <w:r>
              <w:rPr>
                <w:rFonts w:ascii="Calibri" w:eastAsia="Calibri" w:hAnsi="Calibri" w:cs="Calibri"/>
                <w:sz w:val="22"/>
                <w:szCs w:val="22"/>
                <w:lang w:val="fr-FR"/>
              </w:rPr>
              <w:t xml:space="preserve"> du sida</w:t>
            </w:r>
          </w:p>
        </w:tc>
        <w:tc>
          <w:tcPr>
            <w:tcW w:w="1666" w:type="pct"/>
          </w:tcPr>
          <w:p w14:paraId="40D0A4D8" w14:textId="77777777" w:rsidR="00AA4320"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Les termes préconisés évitent l'hypothèse erronée selon laquelle le sida est uniformément mortel et précisent que les infections opportunistes sont la cause aiguë de décès.</w:t>
            </w:r>
          </w:p>
        </w:tc>
      </w:tr>
      <w:tr w:rsidR="00896FB7" w:rsidRPr="00EE1EE3" w14:paraId="3AFF2107" w14:textId="77777777" w:rsidTr="00040797">
        <w:tc>
          <w:tcPr>
            <w:tcW w:w="1667" w:type="pct"/>
            <w:shd w:val="clear" w:color="auto" w:fill="EDEDED"/>
          </w:tcPr>
          <w:p w14:paraId="76D245DD" w14:textId="6EFC3DE6" w:rsidR="00AA4320" w:rsidRPr="00727EC8" w:rsidRDefault="00AD1898"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fr-FR"/>
              </w:rPr>
              <w:t>R</w:t>
            </w:r>
            <w:r w:rsidR="007350F8">
              <w:rPr>
                <w:rFonts w:ascii="Calibri" w:eastAsia="Calibri" w:hAnsi="Calibri" w:cs="Calibri"/>
                <w:b/>
                <w:bCs/>
                <w:color w:val="000000"/>
                <w:lang w:val="fr-FR"/>
              </w:rPr>
              <w:t>éponse</w:t>
            </w:r>
            <w:r>
              <w:rPr>
                <w:rFonts w:ascii="Calibri" w:eastAsia="Calibri" w:hAnsi="Calibri" w:cs="Calibri"/>
                <w:b/>
                <w:bCs/>
                <w:color w:val="000000"/>
                <w:lang w:val="fr-FR"/>
              </w:rPr>
              <w:t>/riposte</w:t>
            </w:r>
            <w:r w:rsidR="007350F8">
              <w:rPr>
                <w:rFonts w:ascii="Calibri" w:eastAsia="Calibri" w:hAnsi="Calibri" w:cs="Calibri"/>
                <w:b/>
                <w:bCs/>
                <w:color w:val="000000"/>
                <w:lang w:val="fr-FR"/>
              </w:rPr>
              <w:t xml:space="preserve"> au VIH</w:t>
            </w:r>
          </w:p>
        </w:tc>
        <w:tc>
          <w:tcPr>
            <w:tcW w:w="1667" w:type="pct"/>
            <w:shd w:val="clear" w:color="auto" w:fill="EDEDED"/>
          </w:tcPr>
          <w:p w14:paraId="7BCF2837" w14:textId="77777777" w:rsidR="00AA4320"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élimination</w:t>
            </w:r>
            <w:proofErr w:type="gramEnd"/>
            <w:r>
              <w:rPr>
                <w:rFonts w:ascii="Calibri" w:eastAsia="Calibri" w:hAnsi="Calibri" w:cs="Calibri"/>
                <w:color w:val="000000"/>
                <w:lang w:val="fr-FR"/>
              </w:rPr>
              <w:t xml:space="preserve"> du VIH</w:t>
            </w:r>
          </w:p>
          <w:p w14:paraId="5546CCC7"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éradication</w:t>
            </w:r>
            <w:proofErr w:type="gramEnd"/>
            <w:r>
              <w:rPr>
                <w:rFonts w:ascii="Calibri" w:eastAsia="Calibri" w:hAnsi="Calibri" w:cs="Calibri"/>
                <w:color w:val="000000"/>
                <w:lang w:val="fr-FR"/>
              </w:rPr>
              <w:t xml:space="preserve"> du VIH</w:t>
            </w:r>
          </w:p>
        </w:tc>
        <w:tc>
          <w:tcPr>
            <w:tcW w:w="1666" w:type="pct"/>
            <w:shd w:val="clear" w:color="auto" w:fill="EDEDED"/>
          </w:tcPr>
          <w:p w14:paraId="182ABF71"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Pour certains membres de la communauté, ces termes ont une connotation paternaliste et militariste et impliquent que les personnes vivant avec le VIH doivent disparaître pour mettre un terme à l'épidémie.</w:t>
            </w:r>
          </w:p>
        </w:tc>
      </w:tr>
      <w:tr w:rsidR="00896FB7" w:rsidRPr="00EE1EE3" w14:paraId="02B5E357" w14:textId="77777777" w:rsidTr="00040797">
        <w:tc>
          <w:tcPr>
            <w:tcW w:w="1667" w:type="pct"/>
          </w:tcPr>
          <w:p w14:paraId="68A2CE40"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personnes</w:t>
            </w:r>
            <w:proofErr w:type="gramEnd"/>
            <w:r>
              <w:rPr>
                <w:rFonts w:ascii="Calibri" w:eastAsia="Calibri" w:hAnsi="Calibri" w:cs="Calibri"/>
                <w:b/>
                <w:bCs/>
                <w:color w:val="000000"/>
                <w:lang w:val="fr-FR"/>
              </w:rPr>
              <w:t xml:space="preserve"> vivant avec le VIH</w:t>
            </w:r>
          </w:p>
        </w:tc>
        <w:tc>
          <w:tcPr>
            <w:tcW w:w="1667" w:type="pct"/>
          </w:tcPr>
          <w:p w14:paraId="48CF5CBE" w14:textId="77777777" w:rsidR="00E81653"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cas</w:t>
            </w:r>
            <w:proofErr w:type="gramEnd"/>
            <w:r>
              <w:rPr>
                <w:rFonts w:ascii="Calibri" w:eastAsia="Calibri" w:hAnsi="Calibri" w:cs="Calibri"/>
                <w:color w:val="000000"/>
                <w:lang w:val="fr-FR"/>
              </w:rPr>
              <w:t xml:space="preserve"> de VIH</w:t>
            </w:r>
          </w:p>
        </w:tc>
        <w:tc>
          <w:tcPr>
            <w:tcW w:w="1666" w:type="pct"/>
            <w:vMerge w:val="restart"/>
          </w:tcPr>
          <w:p w14:paraId="5625C9A7" w14:textId="77777777" w:rsidR="00E81653"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Les personnes ne doivent pas être décrites comme des « cas ». Il s’agit d’un terme qui déshumanise la personne et implique un fardeau.</w:t>
            </w:r>
          </w:p>
        </w:tc>
      </w:tr>
      <w:tr w:rsidR="00896FB7" w14:paraId="7F844E80" w14:textId="77777777" w:rsidTr="00040797">
        <w:tc>
          <w:tcPr>
            <w:tcW w:w="1667" w:type="pct"/>
          </w:tcPr>
          <w:p w14:paraId="16DF21A7" w14:textId="00228077" w:rsidR="00E81653" w:rsidRPr="00D15745" w:rsidRDefault="003B7A60"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nouveaux</w:t>
            </w:r>
            <w:proofErr w:type="gramEnd"/>
            <w:r>
              <w:rPr>
                <w:rFonts w:ascii="Calibri" w:eastAsia="Calibri" w:hAnsi="Calibri" w:cs="Calibri"/>
                <w:b/>
                <w:bCs/>
                <w:color w:val="000000"/>
                <w:lang w:val="fr-FR"/>
              </w:rPr>
              <w:t xml:space="preserve"> diagnostics du VIH</w:t>
            </w:r>
          </w:p>
          <w:p w14:paraId="091ABB1F"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personnes</w:t>
            </w:r>
            <w:proofErr w:type="gramEnd"/>
            <w:r>
              <w:rPr>
                <w:rFonts w:ascii="Calibri" w:eastAsia="Calibri" w:hAnsi="Calibri" w:cs="Calibri"/>
                <w:b/>
                <w:bCs/>
                <w:color w:val="000000"/>
                <w:lang w:val="fr-FR"/>
              </w:rPr>
              <w:t xml:space="preserve"> nouvellement diagnostiquées avec le VIH</w:t>
            </w:r>
          </w:p>
        </w:tc>
        <w:tc>
          <w:tcPr>
            <w:tcW w:w="1667" w:type="pct"/>
          </w:tcPr>
          <w:p w14:paraId="61894843" w14:textId="77777777" w:rsidR="00E81653"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nouveaux</w:t>
            </w:r>
            <w:proofErr w:type="gramEnd"/>
            <w:r>
              <w:rPr>
                <w:rFonts w:ascii="Calibri" w:eastAsia="Calibri" w:hAnsi="Calibri" w:cs="Calibri"/>
                <w:color w:val="000000"/>
                <w:lang w:val="fr-FR"/>
              </w:rPr>
              <w:t xml:space="preserve"> cas de VIH</w:t>
            </w:r>
          </w:p>
        </w:tc>
        <w:tc>
          <w:tcPr>
            <w:tcW w:w="1666" w:type="pct"/>
            <w:vMerge/>
          </w:tcPr>
          <w:p w14:paraId="6AA60E6D" w14:textId="77777777" w:rsidR="00E81653" w:rsidRPr="00727EC8" w:rsidRDefault="00E81653" w:rsidP="00040797">
            <w:pPr>
              <w:autoSpaceDE w:val="0"/>
              <w:autoSpaceDN w:val="0"/>
              <w:adjustRightInd w:val="0"/>
              <w:spacing w:after="120" w:line="276" w:lineRule="auto"/>
              <w:rPr>
                <w:rFonts w:cstheme="minorHAnsi"/>
                <w:color w:val="000000"/>
              </w:rPr>
            </w:pPr>
          </w:p>
        </w:tc>
      </w:tr>
      <w:tr w:rsidR="00896FB7" w:rsidRPr="00EE1EE3" w14:paraId="698D44AC" w14:textId="77777777" w:rsidTr="00040797">
        <w:tc>
          <w:tcPr>
            <w:tcW w:w="1667" w:type="pct"/>
            <w:shd w:val="clear" w:color="auto" w:fill="EDEDED"/>
          </w:tcPr>
          <w:p w14:paraId="11C47BB7" w14:textId="77777777" w:rsidR="00E81653" w:rsidRPr="00727EC8" w:rsidRDefault="007350F8" w:rsidP="00040797">
            <w:pPr>
              <w:autoSpaceDE w:val="0"/>
              <w:autoSpaceDN w:val="0"/>
              <w:adjustRightInd w:val="0"/>
              <w:spacing w:after="0" w:line="276" w:lineRule="auto"/>
              <w:rPr>
                <w:rFonts w:cstheme="minorHAnsi"/>
                <w:color w:val="000000"/>
              </w:rPr>
            </w:pPr>
            <w:proofErr w:type="gramStart"/>
            <w:r w:rsidRPr="00F113F5">
              <w:rPr>
                <w:rFonts w:ascii="Calibri" w:eastAsia="Calibri" w:hAnsi="Calibri" w:cs="Calibri"/>
                <w:b/>
                <w:bCs/>
                <w:color w:val="000000"/>
                <w:lang w:val="fr-FR"/>
              </w:rPr>
              <w:t>participant</w:t>
            </w:r>
            <w:proofErr w:type="gramEnd"/>
            <w:r>
              <w:rPr>
                <w:rFonts w:ascii="Calibri" w:eastAsia="Calibri" w:hAnsi="Calibri" w:cs="Calibri"/>
                <w:b/>
                <w:bCs/>
                <w:color w:val="000000"/>
                <w:lang w:val="fr-FR"/>
              </w:rPr>
              <w:t xml:space="preserve"> à la recherche</w:t>
            </w:r>
          </w:p>
        </w:tc>
        <w:tc>
          <w:tcPr>
            <w:tcW w:w="1667" w:type="pct"/>
            <w:shd w:val="clear" w:color="auto" w:fill="EDEDED"/>
          </w:tcPr>
          <w:p w14:paraId="39CACEA8" w14:textId="77777777" w:rsidR="00E81653" w:rsidRPr="00727EC8" w:rsidRDefault="007350F8" w:rsidP="00040797">
            <w:pPr>
              <w:autoSpaceDE w:val="0"/>
              <w:autoSpaceDN w:val="0"/>
              <w:adjustRightInd w:val="0"/>
              <w:spacing w:after="0" w:line="276" w:lineRule="auto"/>
              <w:rPr>
                <w:rFonts w:cstheme="minorHAnsi"/>
                <w:color w:val="000000"/>
              </w:rPr>
            </w:pPr>
            <w:proofErr w:type="gramStart"/>
            <w:r>
              <w:rPr>
                <w:rFonts w:ascii="Calibri" w:eastAsia="Calibri" w:hAnsi="Calibri" w:cs="Calibri"/>
                <w:color w:val="000000"/>
                <w:lang w:val="fr-FR"/>
              </w:rPr>
              <w:t>sujet</w:t>
            </w:r>
            <w:proofErr w:type="gramEnd"/>
            <w:r>
              <w:rPr>
                <w:rFonts w:ascii="Calibri" w:eastAsia="Calibri" w:hAnsi="Calibri" w:cs="Calibri"/>
                <w:color w:val="000000"/>
                <w:lang w:val="fr-FR"/>
              </w:rPr>
              <w:t xml:space="preserve"> de recherche</w:t>
            </w:r>
          </w:p>
        </w:tc>
        <w:tc>
          <w:tcPr>
            <w:tcW w:w="1666" w:type="pct"/>
            <w:vMerge w:val="restart"/>
            <w:shd w:val="clear" w:color="auto" w:fill="EDEDED"/>
          </w:tcPr>
          <w:p w14:paraId="3466DF32" w14:textId="77777777" w:rsidR="00E81653"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terme « sujet » déshumanise la personne. Tous les participants ne sont pas des patients.</w:t>
            </w:r>
          </w:p>
        </w:tc>
      </w:tr>
      <w:tr w:rsidR="00896FB7" w14:paraId="6DC12D6C" w14:textId="77777777" w:rsidTr="00040797">
        <w:tc>
          <w:tcPr>
            <w:tcW w:w="1667" w:type="pct"/>
            <w:shd w:val="clear" w:color="auto" w:fill="EDEDED"/>
          </w:tcPr>
          <w:p w14:paraId="6B906D92" w14:textId="77777777" w:rsidR="00E81653"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volontaire</w:t>
            </w:r>
            <w:proofErr w:type="gramEnd"/>
          </w:p>
        </w:tc>
        <w:tc>
          <w:tcPr>
            <w:tcW w:w="1667" w:type="pct"/>
            <w:shd w:val="clear" w:color="auto" w:fill="EDEDED"/>
          </w:tcPr>
          <w:p w14:paraId="1EC87A3E" w14:textId="77777777" w:rsidR="00E81653"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patient</w:t>
            </w:r>
            <w:proofErr w:type="gramEnd"/>
          </w:p>
        </w:tc>
        <w:tc>
          <w:tcPr>
            <w:tcW w:w="1666" w:type="pct"/>
            <w:vMerge/>
            <w:shd w:val="clear" w:color="auto" w:fill="EDEDED"/>
          </w:tcPr>
          <w:p w14:paraId="0C066E46" w14:textId="77777777" w:rsidR="00E81653" w:rsidRPr="00727EC8" w:rsidRDefault="00E81653" w:rsidP="00040797">
            <w:pPr>
              <w:autoSpaceDE w:val="0"/>
              <w:autoSpaceDN w:val="0"/>
              <w:adjustRightInd w:val="0"/>
              <w:spacing w:after="120" w:line="276" w:lineRule="auto"/>
              <w:rPr>
                <w:rFonts w:cstheme="minorHAnsi"/>
                <w:color w:val="000000"/>
              </w:rPr>
            </w:pPr>
          </w:p>
        </w:tc>
      </w:tr>
      <w:tr w:rsidR="00896FB7" w:rsidRPr="00EE1EE3" w14:paraId="319C0519" w14:textId="77777777" w:rsidTr="00040797">
        <w:tc>
          <w:tcPr>
            <w:tcW w:w="1667" w:type="pct"/>
          </w:tcPr>
          <w:p w14:paraId="26F878B4"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client</w:t>
            </w:r>
            <w:proofErr w:type="gramEnd"/>
          </w:p>
        </w:tc>
        <w:tc>
          <w:tcPr>
            <w:tcW w:w="1667" w:type="pct"/>
          </w:tcPr>
          <w:p w14:paraId="253B5D98"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patient</w:t>
            </w:r>
            <w:proofErr w:type="gramEnd"/>
          </w:p>
        </w:tc>
        <w:tc>
          <w:tcPr>
            <w:tcW w:w="1666" w:type="pct"/>
          </w:tcPr>
          <w:p w14:paraId="71825FA4"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Lorsqu'on décrit une personne qui utilise le système de santé, le terme « client » est considéré comme autonomisant.</w:t>
            </w:r>
          </w:p>
        </w:tc>
      </w:tr>
      <w:tr w:rsidR="00896FB7" w:rsidRPr="00EE1EE3" w14:paraId="51F32519" w14:textId="77777777" w:rsidTr="00040797">
        <w:tc>
          <w:tcPr>
            <w:tcW w:w="1667" w:type="pct"/>
            <w:shd w:val="clear" w:color="auto" w:fill="EDEDED"/>
          </w:tcPr>
          <w:p w14:paraId="497C66EC" w14:textId="77777777" w:rsidR="00E81653"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sensibiliser</w:t>
            </w:r>
            <w:proofErr w:type="gramEnd"/>
            <w:r>
              <w:rPr>
                <w:rFonts w:ascii="Calibri" w:eastAsia="Calibri" w:hAnsi="Calibri" w:cs="Calibri"/>
                <w:b/>
                <w:bCs/>
                <w:color w:val="000000"/>
                <w:lang w:val="fr-FR"/>
              </w:rPr>
              <w:t xml:space="preserve"> une population</w:t>
            </w:r>
          </w:p>
        </w:tc>
        <w:tc>
          <w:tcPr>
            <w:tcW w:w="1667" w:type="pct"/>
            <w:shd w:val="clear" w:color="auto" w:fill="EDEDED"/>
          </w:tcPr>
          <w:p w14:paraId="44855994" w14:textId="77777777" w:rsidR="00E81653"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cibler</w:t>
            </w:r>
            <w:proofErr w:type="gramEnd"/>
            <w:r>
              <w:rPr>
                <w:rFonts w:ascii="Calibri" w:eastAsia="Calibri" w:hAnsi="Calibri" w:cs="Calibri"/>
                <w:color w:val="000000"/>
                <w:lang w:val="fr-FR"/>
              </w:rPr>
              <w:t xml:space="preserve"> une population</w:t>
            </w:r>
          </w:p>
        </w:tc>
        <w:tc>
          <w:tcPr>
            <w:tcW w:w="1666" w:type="pct"/>
            <w:vMerge w:val="restart"/>
            <w:shd w:val="clear" w:color="auto" w:fill="EDEDED"/>
          </w:tcPr>
          <w:p w14:paraId="4ACA678B" w14:textId="77777777" w:rsidR="00E81653"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Ces termes préconisés mettent l'accent sur des approches participatives et axées sur la communauté pour mettre fin à une épidémie, plutôt que sur des approches paternalistes et hiérarchiques.</w:t>
            </w:r>
          </w:p>
        </w:tc>
      </w:tr>
      <w:tr w:rsidR="00896FB7" w14:paraId="13BD6DB8" w14:textId="77777777" w:rsidTr="00040797">
        <w:tc>
          <w:tcPr>
            <w:tcW w:w="1667" w:type="pct"/>
            <w:shd w:val="clear" w:color="auto" w:fill="EDEDED"/>
          </w:tcPr>
          <w:p w14:paraId="77E3159B" w14:textId="77777777" w:rsidR="00E81653"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population</w:t>
            </w:r>
            <w:proofErr w:type="gramEnd"/>
            <w:r>
              <w:rPr>
                <w:rFonts w:ascii="Calibri" w:eastAsia="Calibri" w:hAnsi="Calibri" w:cs="Calibri"/>
                <w:b/>
                <w:bCs/>
                <w:color w:val="000000"/>
                <w:lang w:val="fr-FR"/>
              </w:rPr>
              <w:t>/groupe prioritaire</w:t>
            </w:r>
          </w:p>
          <w:p w14:paraId="5DC0E03B"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population</w:t>
            </w:r>
            <w:proofErr w:type="gramEnd"/>
            <w:r>
              <w:rPr>
                <w:rFonts w:ascii="Calibri" w:eastAsia="Calibri" w:hAnsi="Calibri" w:cs="Calibri"/>
                <w:b/>
                <w:bCs/>
                <w:color w:val="000000"/>
                <w:lang w:val="fr-FR"/>
              </w:rPr>
              <w:t>/groupe clé</w:t>
            </w:r>
          </w:p>
        </w:tc>
        <w:tc>
          <w:tcPr>
            <w:tcW w:w="1667" w:type="pct"/>
            <w:shd w:val="clear" w:color="auto" w:fill="EDEDED"/>
          </w:tcPr>
          <w:p w14:paraId="4B671A43" w14:textId="77777777" w:rsidR="00E81653"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population</w:t>
            </w:r>
            <w:proofErr w:type="gramEnd"/>
            <w:r>
              <w:rPr>
                <w:rFonts w:ascii="Calibri" w:eastAsia="Calibri" w:hAnsi="Calibri" w:cs="Calibri"/>
                <w:color w:val="000000"/>
                <w:lang w:val="fr-FR"/>
              </w:rPr>
              <w:t>/groupe cible</w:t>
            </w:r>
          </w:p>
        </w:tc>
        <w:tc>
          <w:tcPr>
            <w:tcW w:w="1666" w:type="pct"/>
            <w:vMerge/>
            <w:shd w:val="clear" w:color="auto" w:fill="EDEDED"/>
          </w:tcPr>
          <w:p w14:paraId="4D676C95" w14:textId="77777777" w:rsidR="00E81653" w:rsidRPr="00727EC8" w:rsidRDefault="00E81653" w:rsidP="00040797">
            <w:pPr>
              <w:autoSpaceDE w:val="0"/>
              <w:autoSpaceDN w:val="0"/>
              <w:adjustRightInd w:val="0"/>
              <w:spacing w:after="120" w:line="276" w:lineRule="auto"/>
              <w:rPr>
                <w:rFonts w:cstheme="minorHAnsi"/>
                <w:color w:val="000000"/>
              </w:rPr>
            </w:pPr>
          </w:p>
        </w:tc>
      </w:tr>
      <w:tr w:rsidR="00896FB7" w:rsidRPr="00EE1EE3" w14:paraId="601240EB" w14:textId="77777777" w:rsidTr="00040797">
        <w:tc>
          <w:tcPr>
            <w:tcW w:w="1667" w:type="pct"/>
          </w:tcPr>
          <w:p w14:paraId="6526DA4C" w14:textId="77777777" w:rsidR="00AA4320" w:rsidRPr="00727EC8" w:rsidRDefault="007350F8" w:rsidP="00040797">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transmission</w:t>
            </w:r>
            <w:proofErr w:type="gramEnd"/>
            <w:r>
              <w:rPr>
                <w:rFonts w:ascii="Calibri" w:eastAsia="Calibri" w:hAnsi="Calibri" w:cs="Calibri"/>
                <w:b/>
                <w:bCs/>
                <w:color w:val="000000"/>
                <w:lang w:val="fr-FR"/>
              </w:rPr>
              <w:t xml:space="preserve"> périnatale</w:t>
            </w:r>
          </w:p>
          <w:p w14:paraId="1E918721"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transmission</w:t>
            </w:r>
            <w:proofErr w:type="gramEnd"/>
            <w:r>
              <w:rPr>
                <w:rFonts w:ascii="Calibri" w:eastAsia="Calibri" w:hAnsi="Calibri" w:cs="Calibri"/>
                <w:b/>
                <w:bCs/>
                <w:color w:val="000000"/>
                <w:lang w:val="fr-FR"/>
              </w:rPr>
              <w:t xml:space="preserve"> verticale</w:t>
            </w:r>
          </w:p>
        </w:tc>
        <w:tc>
          <w:tcPr>
            <w:tcW w:w="1667" w:type="pct"/>
          </w:tcPr>
          <w:p w14:paraId="4FF9B795"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transmission</w:t>
            </w:r>
            <w:proofErr w:type="gramEnd"/>
            <w:r>
              <w:rPr>
                <w:rFonts w:ascii="Calibri" w:eastAsia="Calibri" w:hAnsi="Calibri" w:cs="Calibri"/>
                <w:color w:val="000000"/>
                <w:lang w:val="fr-FR"/>
              </w:rPr>
              <w:t xml:space="preserve"> mère-enfant</w:t>
            </w:r>
          </w:p>
        </w:tc>
        <w:tc>
          <w:tcPr>
            <w:tcW w:w="1666" w:type="pct"/>
          </w:tcPr>
          <w:p w14:paraId="3A04AA9E"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Les termes préconisés ne rejettent pas la faute sur les femmes.</w:t>
            </w:r>
          </w:p>
        </w:tc>
      </w:tr>
      <w:tr w:rsidR="00896FB7" w:rsidRPr="00EE1EE3" w14:paraId="091C428B" w14:textId="77777777" w:rsidTr="00040797">
        <w:tc>
          <w:tcPr>
            <w:tcW w:w="1667" w:type="pct"/>
            <w:shd w:val="clear" w:color="auto" w:fill="EDEDED"/>
          </w:tcPr>
          <w:p w14:paraId="37516930"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lastRenderedPageBreak/>
              <w:t>nourrisson</w:t>
            </w:r>
            <w:proofErr w:type="gramEnd"/>
            <w:r>
              <w:rPr>
                <w:rFonts w:ascii="Calibri" w:eastAsia="Calibri" w:hAnsi="Calibri" w:cs="Calibri"/>
                <w:b/>
                <w:bCs/>
                <w:color w:val="000000"/>
                <w:lang w:val="fr-FR"/>
              </w:rPr>
              <w:t xml:space="preserve"> exposé au VIH</w:t>
            </w:r>
          </w:p>
        </w:tc>
        <w:tc>
          <w:tcPr>
            <w:tcW w:w="1667" w:type="pct"/>
            <w:shd w:val="clear" w:color="auto" w:fill="EDEDED"/>
          </w:tcPr>
          <w:p w14:paraId="493D2CE8"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exposé</w:t>
            </w:r>
            <w:proofErr w:type="gramEnd"/>
            <w:r>
              <w:rPr>
                <w:rFonts w:ascii="Calibri" w:eastAsia="Calibri" w:hAnsi="Calibri" w:cs="Calibri"/>
                <w:color w:val="000000"/>
                <w:lang w:val="fr-FR"/>
              </w:rPr>
              <w:t xml:space="preserve"> au VIH</w:t>
            </w:r>
          </w:p>
        </w:tc>
        <w:tc>
          <w:tcPr>
            <w:tcW w:w="1666" w:type="pct"/>
            <w:shd w:val="clear" w:color="auto" w:fill="EDEDED"/>
          </w:tcPr>
          <w:p w14:paraId="4AF08B49"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langage axé sur la personne met l'accent sur l'humanité de celle-ci.</w:t>
            </w:r>
          </w:p>
        </w:tc>
      </w:tr>
      <w:tr w:rsidR="00896FB7" w:rsidRPr="00EE1EE3" w14:paraId="1043A83B" w14:textId="77777777" w:rsidTr="00040797">
        <w:tc>
          <w:tcPr>
            <w:tcW w:w="1667" w:type="pct"/>
          </w:tcPr>
          <w:p w14:paraId="1C318BDD" w14:textId="77777777" w:rsidR="00AA4320" w:rsidRPr="00727EC8" w:rsidRDefault="007350F8" w:rsidP="00040797">
            <w:pPr>
              <w:autoSpaceDE w:val="0"/>
              <w:autoSpaceDN w:val="0"/>
              <w:adjustRightInd w:val="0"/>
              <w:spacing w:after="120" w:line="276" w:lineRule="auto"/>
              <w:rPr>
                <w:rFonts w:cstheme="minorHAnsi"/>
                <w:color w:val="000000"/>
              </w:rPr>
            </w:pPr>
            <w:proofErr w:type="spellStart"/>
            <w:proofErr w:type="gramStart"/>
            <w:r>
              <w:rPr>
                <w:rFonts w:ascii="Calibri" w:eastAsia="Calibri" w:hAnsi="Calibri" w:cs="Calibri"/>
                <w:b/>
                <w:bCs/>
                <w:color w:val="000000"/>
                <w:lang w:val="fr-FR"/>
              </w:rPr>
              <w:t>séro</w:t>
            </w:r>
            <w:proofErr w:type="spellEnd"/>
            <w:proofErr w:type="gramEnd"/>
            <w:r>
              <w:rPr>
                <w:rFonts w:ascii="Calibri" w:eastAsia="Calibri" w:hAnsi="Calibri" w:cs="Calibri"/>
                <w:b/>
                <w:bCs/>
                <w:color w:val="000000"/>
                <w:lang w:val="fr-FR"/>
              </w:rPr>
              <w:t>-différent</w:t>
            </w:r>
          </w:p>
        </w:tc>
        <w:tc>
          <w:tcPr>
            <w:tcW w:w="1667" w:type="pct"/>
          </w:tcPr>
          <w:p w14:paraId="33CF6E0F" w14:textId="77777777" w:rsidR="00AA4320" w:rsidRPr="00727EC8" w:rsidRDefault="007350F8" w:rsidP="00040797">
            <w:pPr>
              <w:autoSpaceDE w:val="0"/>
              <w:autoSpaceDN w:val="0"/>
              <w:adjustRightInd w:val="0"/>
              <w:spacing w:after="120" w:line="276" w:lineRule="auto"/>
              <w:rPr>
                <w:rFonts w:cstheme="minorHAnsi"/>
                <w:color w:val="000000"/>
              </w:rPr>
            </w:pPr>
            <w:proofErr w:type="spellStart"/>
            <w:proofErr w:type="gramStart"/>
            <w:r>
              <w:rPr>
                <w:rFonts w:ascii="Calibri" w:eastAsia="Calibri" w:hAnsi="Calibri" w:cs="Calibri"/>
                <w:color w:val="000000"/>
                <w:lang w:val="fr-FR"/>
              </w:rPr>
              <w:t>séro</w:t>
            </w:r>
            <w:proofErr w:type="gramEnd"/>
            <w:r>
              <w:rPr>
                <w:rFonts w:ascii="Calibri" w:eastAsia="Calibri" w:hAnsi="Calibri" w:cs="Calibri"/>
                <w:color w:val="000000"/>
                <w:lang w:val="fr-FR"/>
              </w:rPr>
              <w:t>-discordant</w:t>
            </w:r>
            <w:proofErr w:type="spellEnd"/>
          </w:p>
        </w:tc>
        <w:tc>
          <w:tcPr>
            <w:tcW w:w="1666" w:type="pct"/>
          </w:tcPr>
          <w:p w14:paraId="37BE07F2"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Discordant » implique qu'un couple n’est pas harmonieux. Les termes « magnétique » et « statut mixte » sont également utilisés pour décrire les couples constitués d'une personne vivant avec le VIH et d'une personne ne vivant pas avec le VIH.</w:t>
            </w:r>
          </w:p>
        </w:tc>
      </w:tr>
      <w:tr w:rsidR="00896FB7" w:rsidRPr="00EE1EE3" w14:paraId="554F1756" w14:textId="77777777" w:rsidTr="00040797">
        <w:tc>
          <w:tcPr>
            <w:tcW w:w="1667" w:type="pct"/>
            <w:shd w:val="clear" w:color="auto" w:fill="EDEDED"/>
          </w:tcPr>
          <w:p w14:paraId="0E99A6B2" w14:textId="0DDE1DC5" w:rsidR="00AA4320"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communauté</w:t>
            </w:r>
            <w:proofErr w:type="gramEnd"/>
            <w:r>
              <w:rPr>
                <w:rFonts w:ascii="Calibri" w:eastAsia="Calibri" w:hAnsi="Calibri" w:cs="Calibri"/>
                <w:b/>
                <w:bCs/>
                <w:color w:val="000000"/>
                <w:lang w:val="fr-FR"/>
              </w:rPr>
              <w:t xml:space="preserve">/population </w:t>
            </w:r>
            <w:r w:rsidR="00AD1898">
              <w:rPr>
                <w:rFonts w:ascii="Calibri" w:eastAsia="Calibri" w:hAnsi="Calibri" w:cs="Calibri"/>
                <w:b/>
                <w:bCs/>
                <w:color w:val="000000"/>
                <w:lang w:val="fr-FR"/>
              </w:rPr>
              <w:t xml:space="preserve">exposée </w:t>
            </w:r>
            <w:r>
              <w:rPr>
                <w:rFonts w:ascii="Calibri" w:eastAsia="Calibri" w:hAnsi="Calibri" w:cs="Calibri"/>
                <w:color w:val="000000"/>
                <w:lang w:val="fr-FR"/>
              </w:rPr>
              <w:t>ou</w:t>
            </w:r>
          </w:p>
          <w:p w14:paraId="379CA42D"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population</w:t>
            </w:r>
            <w:proofErr w:type="gramEnd"/>
            <w:r>
              <w:rPr>
                <w:rFonts w:ascii="Calibri" w:eastAsia="Calibri" w:hAnsi="Calibri" w:cs="Calibri"/>
                <w:b/>
                <w:bCs/>
                <w:color w:val="000000"/>
                <w:lang w:val="fr-FR"/>
              </w:rPr>
              <w:t xml:space="preserve"> à forte incidence</w:t>
            </w:r>
          </w:p>
        </w:tc>
        <w:tc>
          <w:tcPr>
            <w:tcW w:w="1667" w:type="pct"/>
            <w:shd w:val="clear" w:color="auto" w:fill="EDEDED"/>
          </w:tcPr>
          <w:p w14:paraId="0F531DF4"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personnes</w:t>
            </w:r>
            <w:proofErr w:type="gramEnd"/>
            <w:r>
              <w:rPr>
                <w:rFonts w:ascii="Calibri" w:eastAsia="Calibri" w:hAnsi="Calibri" w:cs="Calibri"/>
                <w:color w:val="000000"/>
                <w:lang w:val="fr-FR"/>
              </w:rPr>
              <w:t>/population/groupe à haut risque</w:t>
            </w:r>
          </w:p>
        </w:tc>
        <w:tc>
          <w:tcPr>
            <w:tcW w:w="1666" w:type="pct"/>
            <w:shd w:val="clear" w:color="auto" w:fill="EDEDED"/>
          </w:tcPr>
          <w:p w14:paraId="02B0D7AF" w14:textId="42D0AD54"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Les personnes et les communautés ne sont pas intrinsèquement </w:t>
            </w:r>
            <w:r w:rsidR="00322524">
              <w:rPr>
                <w:rFonts w:ascii="Calibri" w:eastAsia="Calibri" w:hAnsi="Calibri" w:cs="Calibri"/>
                <w:color w:val="000000"/>
                <w:lang w:val="fr-FR"/>
              </w:rPr>
              <w:t>à risque</w:t>
            </w:r>
            <w:r>
              <w:rPr>
                <w:rFonts w:ascii="Calibri" w:eastAsia="Calibri" w:hAnsi="Calibri" w:cs="Calibri"/>
                <w:color w:val="000000"/>
                <w:lang w:val="fr-FR"/>
              </w:rPr>
              <w:t xml:space="preserve">. Les termes préconisés reconnaissent les défis sociétaux et reflètent avec précision la dynamique des </w:t>
            </w:r>
            <w:r w:rsidR="007F7192">
              <w:rPr>
                <w:rFonts w:ascii="Calibri" w:eastAsia="Calibri" w:hAnsi="Calibri" w:cs="Calibri"/>
                <w:color w:val="000000"/>
                <w:lang w:val="fr-FR"/>
              </w:rPr>
              <w:t>épidémies</w:t>
            </w:r>
            <w:r>
              <w:rPr>
                <w:rFonts w:ascii="Calibri" w:eastAsia="Calibri" w:hAnsi="Calibri" w:cs="Calibri"/>
                <w:color w:val="000000"/>
                <w:lang w:val="fr-FR"/>
              </w:rPr>
              <w:t>.</w:t>
            </w:r>
          </w:p>
        </w:tc>
      </w:tr>
      <w:tr w:rsidR="00896FB7" w:rsidRPr="00EE1EE3" w14:paraId="4941C74E" w14:textId="77777777" w:rsidTr="00040797">
        <w:tc>
          <w:tcPr>
            <w:tcW w:w="1667" w:type="pct"/>
          </w:tcPr>
          <w:p w14:paraId="563F1203"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vulnérable au VIH sur le plan comportemental</w:t>
            </w:r>
          </w:p>
        </w:tc>
        <w:tc>
          <w:tcPr>
            <w:tcW w:w="1667" w:type="pct"/>
          </w:tcPr>
          <w:p w14:paraId="4CA2F0C7" w14:textId="77777777" w:rsidR="00AA4320"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personne</w:t>
            </w:r>
            <w:proofErr w:type="gramEnd"/>
            <w:r>
              <w:rPr>
                <w:rFonts w:ascii="Calibri" w:eastAsia="Calibri" w:hAnsi="Calibri" w:cs="Calibri"/>
                <w:color w:val="000000"/>
                <w:lang w:val="fr-FR"/>
              </w:rPr>
              <w:t xml:space="preserve"> à risque</w:t>
            </w:r>
          </w:p>
          <w:p w14:paraId="21FBED84" w14:textId="77777777" w:rsidR="00AA4320"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personne</w:t>
            </w:r>
            <w:proofErr w:type="gramEnd"/>
            <w:r>
              <w:rPr>
                <w:rFonts w:ascii="Calibri" w:eastAsia="Calibri" w:hAnsi="Calibri" w:cs="Calibri"/>
                <w:color w:val="000000"/>
                <w:lang w:val="fr-FR"/>
              </w:rPr>
              <w:t xml:space="preserve"> qui a des comportements à risque</w:t>
            </w:r>
          </w:p>
          <w:p w14:paraId="58D3B805"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personne</w:t>
            </w:r>
            <w:proofErr w:type="gramEnd"/>
            <w:r>
              <w:rPr>
                <w:rFonts w:ascii="Calibri" w:eastAsia="Calibri" w:hAnsi="Calibri" w:cs="Calibri"/>
                <w:color w:val="000000"/>
                <w:lang w:val="fr-FR"/>
              </w:rPr>
              <w:t xml:space="preserve"> qui se met en danger</w:t>
            </w:r>
          </w:p>
        </w:tc>
        <w:tc>
          <w:tcPr>
            <w:tcW w:w="1666" w:type="pct"/>
          </w:tcPr>
          <w:p w14:paraId="4D477434"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Les personnes ne présentent pas de risque inhérent. Certaines communautés, notamment les minorités sexuelles et de genre, ainsi que les personnes de couleur, sont souvent qualifiées de « personnes qui ont des comportements à risque », tandis que les populations dont la charge virale communautaire est plus faible peuvent adopter une fréquence similaire ou supérieure de ces mêmes comportements, mais restent moins susceptibles de contracter le VIH en raison de la charge virale communautaire. Dans la mesure du possible, </w:t>
            </w:r>
            <w:r>
              <w:rPr>
                <w:rFonts w:ascii="Calibri" w:eastAsia="Calibri" w:hAnsi="Calibri" w:cs="Calibri"/>
                <w:color w:val="000000"/>
                <w:lang w:val="fr-FR"/>
              </w:rPr>
              <w:lastRenderedPageBreak/>
              <w:t>précisez l'activité et fournissez un contexte approprié.</w:t>
            </w:r>
          </w:p>
        </w:tc>
      </w:tr>
      <w:tr w:rsidR="00896FB7" w:rsidRPr="00EE1EE3" w14:paraId="65C23018" w14:textId="77777777" w:rsidTr="00040797">
        <w:tc>
          <w:tcPr>
            <w:tcW w:w="1667" w:type="pct"/>
            <w:shd w:val="clear" w:color="auto" w:fill="EDEDED"/>
          </w:tcPr>
          <w:p w14:paraId="7B87E20F" w14:textId="5A9641C9"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lastRenderedPageBreak/>
              <w:t>probabilité</w:t>
            </w:r>
            <w:proofErr w:type="gramEnd"/>
          </w:p>
        </w:tc>
        <w:tc>
          <w:tcPr>
            <w:tcW w:w="1667" w:type="pct"/>
            <w:shd w:val="clear" w:color="auto" w:fill="EDEDED"/>
          </w:tcPr>
          <w:p w14:paraId="26F85AC7"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risque</w:t>
            </w:r>
            <w:proofErr w:type="gramEnd"/>
          </w:p>
        </w:tc>
        <w:tc>
          <w:tcPr>
            <w:tcW w:w="1666" w:type="pct"/>
            <w:shd w:val="clear" w:color="auto" w:fill="EDEDED"/>
          </w:tcPr>
          <w:p w14:paraId="20BF4B8D"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Les termes préconisés permettent de réduire la passivité associée aux populations.</w:t>
            </w:r>
          </w:p>
        </w:tc>
      </w:tr>
      <w:tr w:rsidR="00896FB7" w:rsidRPr="00EE1EE3" w14:paraId="1E919335" w14:textId="77777777" w:rsidTr="00040797">
        <w:tc>
          <w:tcPr>
            <w:tcW w:w="1667" w:type="pct"/>
          </w:tcPr>
          <w:p w14:paraId="65BBFAAF" w14:textId="75024A4B" w:rsidR="00AA4320" w:rsidRPr="00D11046" w:rsidRDefault="007350F8" w:rsidP="00040797">
            <w:pPr>
              <w:autoSpaceDE w:val="0"/>
              <w:autoSpaceDN w:val="0"/>
              <w:adjustRightInd w:val="0"/>
              <w:spacing w:after="0" w:line="276" w:lineRule="auto"/>
              <w:rPr>
                <w:rFonts w:cstheme="minorHAnsi"/>
                <w:color w:val="000000"/>
                <w:lang w:val="fr-FR"/>
              </w:rPr>
            </w:pPr>
            <w:proofErr w:type="gramStart"/>
            <w:r w:rsidRPr="00D11046">
              <w:rPr>
                <w:rFonts w:ascii="Calibri" w:eastAsia="Calibri" w:hAnsi="Calibri" w:cs="Calibri"/>
                <w:b/>
                <w:bCs/>
                <w:color w:val="000000"/>
                <w:lang w:val="fr-FR"/>
              </w:rPr>
              <w:t>sensibilisation</w:t>
            </w:r>
            <w:proofErr w:type="gramEnd"/>
            <w:r w:rsidRPr="00D11046">
              <w:rPr>
                <w:rFonts w:ascii="Calibri" w:eastAsia="Calibri" w:hAnsi="Calibri" w:cs="Calibri"/>
                <w:b/>
                <w:bCs/>
                <w:color w:val="000000"/>
                <w:lang w:val="fr-FR"/>
              </w:rPr>
              <w:t xml:space="preserve"> faible </w:t>
            </w:r>
            <w:r w:rsidRPr="00D11046">
              <w:rPr>
                <w:rFonts w:ascii="Calibri" w:eastAsia="Calibri" w:hAnsi="Calibri" w:cs="Calibri"/>
                <w:color w:val="000000"/>
                <w:lang w:val="fr-FR"/>
              </w:rPr>
              <w:t xml:space="preserve">ou </w:t>
            </w:r>
            <w:r w:rsidRPr="00D11046">
              <w:rPr>
                <w:rFonts w:ascii="Calibri" w:eastAsia="Calibri" w:hAnsi="Calibri" w:cs="Calibri"/>
                <w:b/>
                <w:bCs/>
                <w:color w:val="000000"/>
                <w:lang w:val="fr-FR"/>
              </w:rPr>
              <w:t>mauvaise sensibilisation</w:t>
            </w:r>
            <w:r w:rsidR="00CE4B50" w:rsidRPr="00D11046">
              <w:rPr>
                <w:rFonts w:ascii="Calibri" w:eastAsia="Calibri" w:hAnsi="Calibri" w:cs="Calibri"/>
                <w:b/>
                <w:bCs/>
                <w:color w:val="000000"/>
                <w:lang w:val="fr-FR"/>
              </w:rPr>
              <w:t xml:space="preserve"> des</w:t>
            </w:r>
          </w:p>
          <w:p w14:paraId="778CEFFA"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sidRPr="00D11046">
              <w:rPr>
                <w:rFonts w:ascii="Calibri" w:eastAsia="Calibri" w:hAnsi="Calibri" w:cs="Calibri"/>
                <w:b/>
                <w:bCs/>
                <w:color w:val="000000"/>
                <w:lang w:val="fr-FR"/>
              </w:rPr>
              <w:t>populations</w:t>
            </w:r>
            <w:proofErr w:type="gramEnd"/>
            <w:r w:rsidRPr="00D11046">
              <w:rPr>
                <w:rFonts w:ascii="Calibri" w:eastAsia="Calibri" w:hAnsi="Calibri" w:cs="Calibri"/>
                <w:b/>
                <w:bCs/>
                <w:color w:val="000000"/>
                <w:lang w:val="fr-FR"/>
              </w:rPr>
              <w:t>/individus</w:t>
            </w:r>
          </w:p>
        </w:tc>
        <w:tc>
          <w:tcPr>
            <w:tcW w:w="1667" w:type="pct"/>
          </w:tcPr>
          <w:p w14:paraId="74DF32F1" w14:textId="5166A6CB"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populations</w:t>
            </w:r>
            <w:proofErr w:type="gramEnd"/>
            <w:r>
              <w:rPr>
                <w:rFonts w:ascii="Calibri" w:eastAsia="Calibri" w:hAnsi="Calibri" w:cs="Calibri"/>
                <w:color w:val="000000"/>
                <w:lang w:val="fr-FR"/>
              </w:rPr>
              <w:t xml:space="preserve">/individus difficiles à </w:t>
            </w:r>
            <w:r w:rsidR="00575FED">
              <w:rPr>
                <w:rFonts w:ascii="Calibri" w:eastAsia="Calibri" w:hAnsi="Calibri" w:cs="Calibri"/>
                <w:color w:val="000000"/>
                <w:lang w:val="fr-FR"/>
              </w:rPr>
              <w:t>atteindre</w:t>
            </w:r>
          </w:p>
        </w:tc>
        <w:tc>
          <w:tcPr>
            <w:tcW w:w="1666" w:type="pct"/>
          </w:tcPr>
          <w:p w14:paraId="31B241C3"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Les termes préconisés font reposer la responsabilité sur le secteur de la santé plutôt que sur un individu.</w:t>
            </w:r>
          </w:p>
        </w:tc>
      </w:tr>
      <w:tr w:rsidR="00896FB7" w:rsidRPr="00EE1EE3" w14:paraId="416355B2" w14:textId="77777777" w:rsidTr="00040797">
        <w:tc>
          <w:tcPr>
            <w:tcW w:w="1667" w:type="pct"/>
            <w:shd w:val="clear" w:color="auto" w:fill="EDEDED"/>
          </w:tcPr>
          <w:p w14:paraId="51C92907" w14:textId="77777777" w:rsidR="00E81653"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rapports</w:t>
            </w:r>
            <w:proofErr w:type="gramEnd"/>
            <w:r>
              <w:rPr>
                <w:rFonts w:ascii="Calibri" w:eastAsia="Calibri" w:hAnsi="Calibri" w:cs="Calibri"/>
                <w:b/>
                <w:bCs/>
                <w:color w:val="000000"/>
                <w:lang w:val="fr-FR"/>
              </w:rPr>
              <w:t xml:space="preserve"> sexuels sans préservatifs </w:t>
            </w:r>
            <w:r>
              <w:rPr>
                <w:rFonts w:ascii="Calibri" w:eastAsia="Calibri" w:hAnsi="Calibri" w:cs="Calibri"/>
                <w:color w:val="000000"/>
                <w:lang w:val="fr-FR"/>
              </w:rPr>
              <w:t>ou</w:t>
            </w:r>
          </w:p>
          <w:p w14:paraId="2D37C40A"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rapports</w:t>
            </w:r>
            <w:proofErr w:type="gramEnd"/>
            <w:r>
              <w:rPr>
                <w:rFonts w:ascii="Calibri" w:eastAsia="Calibri" w:hAnsi="Calibri" w:cs="Calibri"/>
                <w:b/>
                <w:bCs/>
                <w:color w:val="000000"/>
                <w:lang w:val="fr-FR"/>
              </w:rPr>
              <w:t xml:space="preserve"> sexuels sans outils de prévention</w:t>
            </w:r>
          </w:p>
        </w:tc>
        <w:tc>
          <w:tcPr>
            <w:tcW w:w="1667" w:type="pct"/>
            <w:shd w:val="clear" w:color="auto" w:fill="EDEDED"/>
          </w:tcPr>
          <w:p w14:paraId="4F688CF2" w14:textId="77777777" w:rsidR="00E81653"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rapports</w:t>
            </w:r>
            <w:proofErr w:type="gramEnd"/>
            <w:r>
              <w:rPr>
                <w:rFonts w:ascii="Calibri" w:eastAsia="Calibri" w:hAnsi="Calibri" w:cs="Calibri"/>
                <w:color w:val="000000"/>
                <w:lang w:val="fr-FR"/>
              </w:rPr>
              <w:t xml:space="preserve"> sexuels non protégés</w:t>
            </w:r>
          </w:p>
          <w:p w14:paraId="78F40D88"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rapports</w:t>
            </w:r>
            <w:proofErr w:type="gramEnd"/>
            <w:r>
              <w:rPr>
                <w:rFonts w:ascii="Calibri" w:eastAsia="Calibri" w:hAnsi="Calibri" w:cs="Calibri"/>
                <w:color w:val="000000"/>
                <w:lang w:val="fr-FR"/>
              </w:rPr>
              <w:t xml:space="preserve"> sexuels sans protection</w:t>
            </w:r>
          </w:p>
        </w:tc>
        <w:tc>
          <w:tcPr>
            <w:tcW w:w="1666" w:type="pct"/>
            <w:vMerge w:val="restart"/>
            <w:shd w:val="clear" w:color="auto" w:fill="EDEDED"/>
          </w:tcPr>
          <w:p w14:paraId="45B810A5" w14:textId="77777777" w:rsidR="00E81653"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Les termes préconisés sont plus spécifiques, plus précis et évitent tout jugement. Les rapports sexuels sans préservatifs peuvent toujours impliquer une protection de type U=U (Non détectable, non transmissible) ou </w:t>
            </w:r>
            <w:proofErr w:type="spellStart"/>
            <w:r>
              <w:rPr>
                <w:rFonts w:ascii="Calibri" w:eastAsia="Calibri" w:hAnsi="Calibri" w:cs="Calibri"/>
                <w:color w:val="000000"/>
                <w:lang w:val="fr-FR"/>
              </w:rPr>
              <w:t>PrEP</w:t>
            </w:r>
            <w:proofErr w:type="spellEnd"/>
            <w:r>
              <w:rPr>
                <w:rFonts w:ascii="Calibri" w:eastAsia="Calibri" w:hAnsi="Calibri" w:cs="Calibri"/>
                <w:color w:val="000000"/>
                <w:lang w:val="fr-FR"/>
              </w:rPr>
              <w:t>.</w:t>
            </w:r>
          </w:p>
        </w:tc>
      </w:tr>
      <w:tr w:rsidR="00896FB7" w:rsidRPr="00EE1EE3" w14:paraId="527D12D3" w14:textId="77777777" w:rsidTr="00040797">
        <w:tc>
          <w:tcPr>
            <w:tcW w:w="1667" w:type="pct"/>
            <w:shd w:val="clear" w:color="auto" w:fill="EDEDED"/>
          </w:tcPr>
          <w:p w14:paraId="1ADB59A5"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rapports</w:t>
            </w:r>
            <w:proofErr w:type="gramEnd"/>
            <w:r>
              <w:rPr>
                <w:rFonts w:ascii="Calibri" w:eastAsia="Calibri" w:hAnsi="Calibri" w:cs="Calibri"/>
                <w:b/>
                <w:bCs/>
                <w:color w:val="000000"/>
                <w:lang w:val="fr-FR"/>
              </w:rPr>
              <w:t xml:space="preserve"> sexuels avec préservatifs ou d'autres outils de prévention</w:t>
            </w:r>
          </w:p>
        </w:tc>
        <w:tc>
          <w:tcPr>
            <w:tcW w:w="1667" w:type="pct"/>
            <w:shd w:val="clear" w:color="auto" w:fill="EDEDED"/>
          </w:tcPr>
          <w:p w14:paraId="6C0AC975" w14:textId="77777777" w:rsidR="00E81653"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rapports</w:t>
            </w:r>
            <w:proofErr w:type="gramEnd"/>
            <w:r>
              <w:rPr>
                <w:rFonts w:ascii="Calibri" w:eastAsia="Calibri" w:hAnsi="Calibri" w:cs="Calibri"/>
                <w:color w:val="000000"/>
                <w:lang w:val="fr-FR"/>
              </w:rPr>
              <w:t xml:space="preserve"> sexuels protégés</w:t>
            </w:r>
          </w:p>
          <w:p w14:paraId="74DF8862"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rapports</w:t>
            </w:r>
            <w:proofErr w:type="gramEnd"/>
            <w:r>
              <w:rPr>
                <w:rFonts w:ascii="Calibri" w:eastAsia="Calibri" w:hAnsi="Calibri" w:cs="Calibri"/>
                <w:color w:val="000000"/>
                <w:lang w:val="fr-FR"/>
              </w:rPr>
              <w:t xml:space="preserve"> sexuels sans risque</w:t>
            </w:r>
          </w:p>
        </w:tc>
        <w:tc>
          <w:tcPr>
            <w:tcW w:w="1666" w:type="pct"/>
            <w:vMerge/>
            <w:shd w:val="clear" w:color="auto" w:fill="EDEDED"/>
          </w:tcPr>
          <w:p w14:paraId="3E80139C" w14:textId="77777777" w:rsidR="00E81653" w:rsidRPr="00D15745" w:rsidRDefault="00E81653" w:rsidP="00040797">
            <w:pPr>
              <w:autoSpaceDE w:val="0"/>
              <w:autoSpaceDN w:val="0"/>
              <w:adjustRightInd w:val="0"/>
              <w:spacing w:after="120" w:line="276" w:lineRule="auto"/>
              <w:rPr>
                <w:rFonts w:cstheme="minorHAnsi"/>
                <w:color w:val="000000"/>
                <w:lang w:val="fr-FR"/>
              </w:rPr>
            </w:pPr>
          </w:p>
        </w:tc>
      </w:tr>
      <w:tr w:rsidR="00896FB7" w:rsidRPr="00EE1EE3" w14:paraId="77B37B52" w14:textId="77777777" w:rsidTr="00040797">
        <w:tc>
          <w:tcPr>
            <w:tcW w:w="1667" w:type="pct"/>
          </w:tcPr>
          <w:p w14:paraId="2348099D" w14:textId="586BCA41"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a</w:t>
            </w:r>
            <w:proofErr w:type="gramEnd"/>
            <w:r>
              <w:rPr>
                <w:rFonts w:ascii="Calibri" w:eastAsia="Calibri" w:hAnsi="Calibri" w:cs="Calibri"/>
                <w:b/>
                <w:bCs/>
                <w:color w:val="000000"/>
                <w:lang w:val="fr-FR"/>
              </w:rPr>
              <w:t xml:space="preserve"> des partenaires sexuels multiples</w:t>
            </w:r>
            <w:r w:rsidR="00D11046">
              <w:rPr>
                <w:rFonts w:ascii="Calibri" w:eastAsia="Calibri" w:hAnsi="Calibri" w:cs="Calibri"/>
                <w:b/>
                <w:bCs/>
                <w:color w:val="000000"/>
                <w:lang w:val="fr-FR"/>
              </w:rPr>
              <w:t xml:space="preserve">, </w:t>
            </w:r>
            <w:proofErr w:type="spellStart"/>
            <w:r w:rsidR="00575FED">
              <w:rPr>
                <w:rFonts w:ascii="Calibri" w:eastAsia="Calibri" w:hAnsi="Calibri" w:cs="Calibri"/>
                <w:b/>
                <w:bCs/>
                <w:color w:val="000000"/>
                <w:lang w:val="fr-FR"/>
              </w:rPr>
              <w:t>mutlipartenaire</w:t>
            </w:r>
            <w:proofErr w:type="spellEnd"/>
          </w:p>
        </w:tc>
        <w:tc>
          <w:tcPr>
            <w:tcW w:w="1667" w:type="pct"/>
          </w:tcPr>
          <w:p w14:paraId="1DA58129" w14:textId="194162DA" w:rsidR="00AA4320" w:rsidRPr="00F113F5" w:rsidRDefault="007350F8" w:rsidP="00040797">
            <w:pPr>
              <w:autoSpaceDE w:val="0"/>
              <w:autoSpaceDN w:val="0"/>
              <w:adjustRightInd w:val="0"/>
              <w:spacing w:after="120" w:line="276" w:lineRule="auto"/>
              <w:rPr>
                <w:rFonts w:cstheme="minorHAnsi"/>
                <w:color w:val="000000"/>
                <w:lang w:val="fr-CH"/>
              </w:rPr>
            </w:pPr>
            <w:proofErr w:type="gramStart"/>
            <w:r>
              <w:rPr>
                <w:rFonts w:ascii="Calibri" w:eastAsia="Calibri" w:hAnsi="Calibri" w:cs="Calibri"/>
                <w:color w:val="000000"/>
                <w:lang w:val="fr-FR"/>
              </w:rPr>
              <w:t>aux</w:t>
            </w:r>
            <w:proofErr w:type="gramEnd"/>
            <w:r>
              <w:rPr>
                <w:rFonts w:ascii="Calibri" w:eastAsia="Calibri" w:hAnsi="Calibri" w:cs="Calibri"/>
                <w:color w:val="000000"/>
                <w:lang w:val="fr-FR"/>
              </w:rPr>
              <w:t xml:space="preserve"> mœurs légères</w:t>
            </w:r>
            <w:r w:rsidR="00D11046">
              <w:rPr>
                <w:rFonts w:ascii="Calibri" w:eastAsia="Calibri" w:hAnsi="Calibri" w:cs="Calibri"/>
                <w:color w:val="000000"/>
                <w:lang w:val="fr-FR"/>
              </w:rPr>
              <w:t>, pernicieux, immoral</w:t>
            </w:r>
          </w:p>
        </w:tc>
        <w:tc>
          <w:tcPr>
            <w:tcW w:w="1666" w:type="pct"/>
          </w:tcPr>
          <w:p w14:paraId="7158D36A"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Évitez « aux mœurs légères » et ses dérivés, car il s'agit d'un jugement de valeur inutile.</w:t>
            </w:r>
          </w:p>
        </w:tc>
      </w:tr>
      <w:tr w:rsidR="00896FB7" w:rsidRPr="00EE1EE3" w14:paraId="310129AE" w14:textId="77777777" w:rsidTr="00040797">
        <w:tc>
          <w:tcPr>
            <w:tcW w:w="1667" w:type="pct"/>
            <w:shd w:val="clear" w:color="auto" w:fill="EDEDED"/>
          </w:tcPr>
          <w:p w14:paraId="3B8EF5B2" w14:textId="6317EB8D" w:rsidR="00AA4320" w:rsidRPr="00727EC8" w:rsidRDefault="00735495"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interruption</w:t>
            </w:r>
            <w:proofErr w:type="gramEnd"/>
            <w:r>
              <w:rPr>
                <w:rFonts w:ascii="Calibri" w:eastAsia="Calibri" w:hAnsi="Calibri" w:cs="Calibri"/>
                <w:b/>
                <w:bCs/>
                <w:color w:val="000000"/>
                <w:lang w:val="fr-FR"/>
              </w:rPr>
              <w:t xml:space="preserve"> </w:t>
            </w:r>
            <w:r w:rsidR="007350F8">
              <w:rPr>
                <w:rFonts w:ascii="Calibri" w:eastAsia="Calibri" w:hAnsi="Calibri" w:cs="Calibri"/>
                <w:b/>
                <w:bCs/>
                <w:color w:val="000000"/>
                <w:lang w:val="fr-FR"/>
              </w:rPr>
              <w:t>du traitement</w:t>
            </w:r>
          </w:p>
        </w:tc>
        <w:tc>
          <w:tcPr>
            <w:tcW w:w="1667" w:type="pct"/>
            <w:shd w:val="clear" w:color="auto" w:fill="EDEDED"/>
          </w:tcPr>
          <w:p w14:paraId="76747FB5"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défaut</w:t>
            </w:r>
            <w:proofErr w:type="gramEnd"/>
            <w:r>
              <w:rPr>
                <w:rFonts w:ascii="Calibri" w:eastAsia="Calibri" w:hAnsi="Calibri" w:cs="Calibri"/>
                <w:color w:val="000000"/>
                <w:lang w:val="fr-FR"/>
              </w:rPr>
              <w:t xml:space="preserve"> de traitement</w:t>
            </w:r>
          </w:p>
        </w:tc>
        <w:tc>
          <w:tcPr>
            <w:tcW w:w="1666" w:type="pct"/>
            <w:shd w:val="clear" w:color="auto" w:fill="EDEDED"/>
          </w:tcPr>
          <w:p w14:paraId="6E543EFC"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Défaut » est un terme négatif qui implique un jugement de valeur concernant la personne qui n'a pas terminé le traitement.</w:t>
            </w:r>
          </w:p>
        </w:tc>
      </w:tr>
      <w:tr w:rsidR="00896FB7" w:rsidRPr="00EE1EE3" w14:paraId="2D7202B9" w14:textId="77777777" w:rsidTr="00040797">
        <w:tc>
          <w:tcPr>
            <w:tcW w:w="1667" w:type="pct"/>
          </w:tcPr>
          <w:p w14:paraId="14A8D3DA"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adhésion</w:t>
            </w:r>
            <w:proofErr w:type="gramEnd"/>
          </w:p>
        </w:tc>
        <w:tc>
          <w:tcPr>
            <w:tcW w:w="1667" w:type="pct"/>
          </w:tcPr>
          <w:p w14:paraId="2BD40B4B"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observance</w:t>
            </w:r>
            <w:proofErr w:type="gramEnd"/>
          </w:p>
        </w:tc>
        <w:tc>
          <w:tcPr>
            <w:tcW w:w="1666" w:type="pct"/>
          </w:tcPr>
          <w:p w14:paraId="00C1FF76"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w:t>
            </w:r>
            <w:proofErr w:type="gramStart"/>
            <w:r>
              <w:rPr>
                <w:rFonts w:ascii="Calibri" w:eastAsia="Calibri" w:hAnsi="Calibri" w:cs="Calibri"/>
                <w:color w:val="000000"/>
                <w:lang w:val="fr-FR"/>
              </w:rPr>
              <w:t>’«</w:t>
            </w:r>
            <w:proofErr w:type="gramEnd"/>
            <w:r>
              <w:rPr>
                <w:rFonts w:ascii="Calibri" w:eastAsia="Calibri" w:hAnsi="Calibri" w:cs="Calibri"/>
                <w:color w:val="000000"/>
                <w:lang w:val="fr-FR"/>
              </w:rPr>
              <w:t> observance » implique un comportement passif ou de suivre des instructions, tandis que l'« adhésion » reconnaît la participation active d'une personne à ses soins.</w:t>
            </w:r>
          </w:p>
        </w:tc>
      </w:tr>
      <w:tr w:rsidR="00896FB7" w:rsidRPr="00EE1EE3" w14:paraId="68CC1FE1" w14:textId="77777777" w:rsidTr="00040797">
        <w:tc>
          <w:tcPr>
            <w:tcW w:w="1667" w:type="pct"/>
            <w:shd w:val="clear" w:color="auto" w:fill="EDEDED"/>
          </w:tcPr>
          <w:p w14:paraId="09DF372C"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préservatif</w:t>
            </w:r>
            <w:proofErr w:type="gramEnd"/>
            <w:r>
              <w:rPr>
                <w:rFonts w:ascii="Calibri" w:eastAsia="Calibri" w:hAnsi="Calibri" w:cs="Calibri"/>
                <w:b/>
                <w:bCs/>
                <w:color w:val="000000"/>
                <w:lang w:val="fr-FR"/>
              </w:rPr>
              <w:t xml:space="preserve"> interne</w:t>
            </w:r>
          </w:p>
        </w:tc>
        <w:tc>
          <w:tcPr>
            <w:tcW w:w="1667" w:type="pct"/>
            <w:shd w:val="clear" w:color="auto" w:fill="EDEDED"/>
          </w:tcPr>
          <w:p w14:paraId="58FDB66D" w14:textId="77777777" w:rsidR="00AA4320" w:rsidRDefault="007350F8" w:rsidP="00040797">
            <w:pPr>
              <w:autoSpaceDE w:val="0"/>
              <w:autoSpaceDN w:val="0"/>
              <w:adjustRightInd w:val="0"/>
              <w:spacing w:after="120" w:line="276" w:lineRule="auto"/>
              <w:rPr>
                <w:rFonts w:ascii="Calibri" w:eastAsia="Calibri" w:hAnsi="Calibri" w:cs="Calibri"/>
                <w:color w:val="000000"/>
                <w:lang w:val="fr-FR"/>
              </w:rPr>
            </w:pPr>
            <w:proofErr w:type="gramStart"/>
            <w:r>
              <w:rPr>
                <w:rFonts w:ascii="Calibri" w:eastAsia="Calibri" w:hAnsi="Calibri" w:cs="Calibri"/>
                <w:color w:val="000000"/>
                <w:lang w:val="fr-FR"/>
              </w:rPr>
              <w:t>préservatif</w:t>
            </w:r>
            <w:proofErr w:type="gramEnd"/>
            <w:r>
              <w:rPr>
                <w:rFonts w:ascii="Calibri" w:eastAsia="Calibri" w:hAnsi="Calibri" w:cs="Calibri"/>
                <w:color w:val="000000"/>
                <w:lang w:val="fr-FR"/>
              </w:rPr>
              <w:t xml:space="preserve"> pour femmes</w:t>
            </w:r>
          </w:p>
          <w:p w14:paraId="5354484C" w14:textId="4912D733" w:rsidR="00735495" w:rsidRPr="00727EC8" w:rsidRDefault="00735495" w:rsidP="00040797">
            <w:pPr>
              <w:autoSpaceDE w:val="0"/>
              <w:autoSpaceDN w:val="0"/>
              <w:adjustRightInd w:val="0"/>
              <w:spacing w:after="120" w:line="276" w:lineRule="auto"/>
              <w:rPr>
                <w:rFonts w:cstheme="minorHAnsi"/>
                <w:color w:val="000000"/>
              </w:rPr>
            </w:pPr>
            <w:r>
              <w:rPr>
                <w:rFonts w:eastAsia="Calibri" w:cstheme="minorHAnsi"/>
                <w:color w:val="000000"/>
                <w:lang w:val="fr-FR"/>
              </w:rPr>
              <w:t>Femidom®</w:t>
            </w:r>
          </w:p>
        </w:tc>
        <w:tc>
          <w:tcPr>
            <w:tcW w:w="1666" w:type="pct"/>
            <w:shd w:val="clear" w:color="auto" w:fill="EDEDED"/>
          </w:tcPr>
          <w:p w14:paraId="63665B5E" w14:textId="28C4E192" w:rsidR="00AA4320" w:rsidRPr="00D15745" w:rsidRDefault="007350F8" w:rsidP="00D11046">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Certains hommes transgenres et personnes non binaires peuvent </w:t>
            </w:r>
            <w:r w:rsidR="00D11046">
              <w:rPr>
                <w:rFonts w:ascii="Calibri" w:eastAsia="Calibri" w:hAnsi="Calibri" w:cs="Calibri"/>
                <w:color w:val="000000"/>
                <w:lang w:val="fr-FR"/>
              </w:rPr>
              <w:t xml:space="preserve">porter </w:t>
            </w:r>
            <w:r>
              <w:rPr>
                <w:rFonts w:ascii="Calibri" w:eastAsia="Calibri" w:hAnsi="Calibri" w:cs="Calibri"/>
                <w:color w:val="000000"/>
                <w:lang w:val="fr-FR"/>
              </w:rPr>
              <w:t xml:space="preserve">des préservatifs internes par voie vaginale, et les personnes de tous les sexes </w:t>
            </w:r>
            <w:r>
              <w:rPr>
                <w:rFonts w:ascii="Calibri" w:eastAsia="Calibri" w:hAnsi="Calibri" w:cs="Calibri"/>
                <w:color w:val="000000"/>
                <w:lang w:val="fr-FR"/>
              </w:rPr>
              <w:lastRenderedPageBreak/>
              <w:t>peuvent utiliser des préservatifs internes pour les rapports anaux.</w:t>
            </w:r>
          </w:p>
        </w:tc>
      </w:tr>
      <w:tr w:rsidR="00896FB7" w:rsidRPr="00EE1EE3" w14:paraId="65CB8D4D" w14:textId="77777777" w:rsidTr="00040797">
        <w:tc>
          <w:tcPr>
            <w:tcW w:w="1667" w:type="pct"/>
          </w:tcPr>
          <w:p w14:paraId="79EFE8CE" w14:textId="77777777" w:rsidR="00AA4320" w:rsidRPr="00727EC8" w:rsidRDefault="007350F8" w:rsidP="00040797">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lastRenderedPageBreak/>
              <w:t>préservatif</w:t>
            </w:r>
            <w:proofErr w:type="gramEnd"/>
            <w:r>
              <w:rPr>
                <w:rFonts w:ascii="Calibri" w:eastAsia="Calibri" w:hAnsi="Calibri" w:cs="Calibri"/>
                <w:b/>
                <w:bCs/>
                <w:color w:val="000000"/>
                <w:lang w:val="fr-FR"/>
              </w:rPr>
              <w:t xml:space="preserve"> externe</w:t>
            </w:r>
          </w:p>
          <w:p w14:paraId="03C32086" w14:textId="6713CAC2" w:rsidR="00AA4320" w:rsidRPr="00F113F5" w:rsidRDefault="00AA4320" w:rsidP="00040797">
            <w:pPr>
              <w:autoSpaceDE w:val="0"/>
              <w:autoSpaceDN w:val="0"/>
              <w:adjustRightInd w:val="0"/>
              <w:spacing w:after="120" w:line="276" w:lineRule="auto"/>
              <w:rPr>
                <w:rFonts w:cstheme="minorHAnsi"/>
                <w:strike/>
                <w:color w:val="000000"/>
              </w:rPr>
            </w:pPr>
          </w:p>
        </w:tc>
        <w:tc>
          <w:tcPr>
            <w:tcW w:w="1667" w:type="pct"/>
          </w:tcPr>
          <w:p w14:paraId="6FC3678E"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préservatif</w:t>
            </w:r>
            <w:proofErr w:type="gramEnd"/>
            <w:r>
              <w:rPr>
                <w:rFonts w:ascii="Calibri" w:eastAsia="Calibri" w:hAnsi="Calibri" w:cs="Calibri"/>
                <w:color w:val="000000"/>
                <w:lang w:val="fr-FR"/>
              </w:rPr>
              <w:t xml:space="preserve"> masculin</w:t>
            </w:r>
          </w:p>
        </w:tc>
        <w:tc>
          <w:tcPr>
            <w:tcW w:w="1667" w:type="pct"/>
          </w:tcPr>
          <w:p w14:paraId="3668993D" w14:textId="240E6539" w:rsidR="00AA4320" w:rsidRPr="00D15745" w:rsidRDefault="007350F8" w:rsidP="00D11046">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Certaines femmes transgenres et personnes non binaires peuvent </w:t>
            </w:r>
            <w:r w:rsidR="00D11046">
              <w:rPr>
                <w:rFonts w:ascii="Calibri" w:eastAsia="Calibri" w:hAnsi="Calibri" w:cs="Calibri"/>
                <w:color w:val="000000"/>
                <w:lang w:val="fr-FR"/>
              </w:rPr>
              <w:t xml:space="preserve">porter </w:t>
            </w:r>
            <w:r>
              <w:rPr>
                <w:rFonts w:ascii="Calibri" w:eastAsia="Calibri" w:hAnsi="Calibri" w:cs="Calibri"/>
                <w:color w:val="000000"/>
                <w:lang w:val="fr-FR"/>
              </w:rPr>
              <w:t>des préservatifs externes pour les rapports sexuels ; des personnes de tous genres peuvent couper les préservatifs externes pour créer des digues dentaires.</w:t>
            </w:r>
          </w:p>
        </w:tc>
      </w:tr>
      <w:tr w:rsidR="00896FB7" w:rsidRPr="00EE1EE3" w14:paraId="066B2F1E" w14:textId="77777777" w:rsidTr="00040797">
        <w:tc>
          <w:tcPr>
            <w:tcW w:w="1667" w:type="pct"/>
            <w:shd w:val="clear" w:color="auto" w:fill="EDEDED"/>
          </w:tcPr>
          <w:p w14:paraId="4CF8C280" w14:textId="77777777" w:rsidR="00E81653"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w:t>
            </w:r>
            <w:proofErr w:type="gramStart"/>
            <w:r>
              <w:rPr>
                <w:rFonts w:ascii="Calibri" w:eastAsia="Calibri" w:hAnsi="Calibri" w:cs="Calibri"/>
                <w:color w:val="000000"/>
                <w:lang w:val="fr-FR"/>
              </w:rPr>
              <w:t>les</w:t>
            </w:r>
            <w:proofErr w:type="gramEnd"/>
            <w:r>
              <w:rPr>
                <w:rFonts w:ascii="Calibri" w:eastAsia="Calibri" w:hAnsi="Calibri" w:cs="Calibri"/>
                <w:color w:val="000000"/>
                <w:lang w:val="fr-FR"/>
              </w:rPr>
              <w:t xml:space="preserve"> personnes ayant une charge virale indétectable] </w:t>
            </w:r>
            <w:r>
              <w:rPr>
                <w:rFonts w:ascii="Calibri" w:eastAsia="Calibri" w:hAnsi="Calibri" w:cs="Calibri"/>
                <w:b/>
                <w:bCs/>
                <w:color w:val="000000"/>
                <w:lang w:val="fr-FR"/>
              </w:rPr>
              <w:t>ne transmettent pas le VIH</w:t>
            </w:r>
          </w:p>
        </w:tc>
        <w:tc>
          <w:tcPr>
            <w:tcW w:w="1667" w:type="pct"/>
            <w:shd w:val="clear" w:color="auto" w:fill="EDEDED"/>
          </w:tcPr>
          <w:p w14:paraId="7E4A882E" w14:textId="77777777" w:rsidR="00E81653"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extrêmement</w:t>
            </w:r>
            <w:proofErr w:type="gramEnd"/>
            <w:r>
              <w:rPr>
                <w:rFonts w:ascii="Calibri" w:eastAsia="Calibri" w:hAnsi="Calibri" w:cs="Calibri"/>
                <w:color w:val="000000"/>
                <w:lang w:val="fr-FR"/>
              </w:rPr>
              <w:t xml:space="preserve"> peu susceptible de transmettre le VIH</w:t>
            </w:r>
          </w:p>
          <w:p w14:paraId="0C574B32"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presque</w:t>
            </w:r>
            <w:proofErr w:type="gramEnd"/>
            <w:r>
              <w:rPr>
                <w:rFonts w:ascii="Calibri" w:eastAsia="Calibri" w:hAnsi="Calibri" w:cs="Calibri"/>
                <w:color w:val="000000"/>
                <w:lang w:val="fr-FR"/>
              </w:rPr>
              <w:t xml:space="preserve"> impossible de transmettre le VIH</w:t>
            </w:r>
          </w:p>
        </w:tc>
        <w:tc>
          <w:tcPr>
            <w:tcW w:w="1666" w:type="pct"/>
            <w:vMerge w:val="restart"/>
            <w:shd w:val="clear" w:color="auto" w:fill="EDEDED"/>
          </w:tcPr>
          <w:p w14:paraId="0BEC61A8" w14:textId="0F4118C1" w:rsidR="00E81653"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Décrivez le rôle de la prévention comme principe du traitement, ou le principe « Non détectable = Non transmissible » de manière claire et cohérente. Utiliser des qualificatifs qui suggèrent que le principe « Non détectable = Non transmissible » est peu efficace est inexact </w:t>
            </w:r>
            <w:r w:rsidR="00735495">
              <w:rPr>
                <w:rFonts w:ascii="Calibri" w:eastAsia="Calibri" w:hAnsi="Calibri" w:cs="Calibri"/>
                <w:color w:val="000000"/>
                <w:lang w:val="fr-FR"/>
              </w:rPr>
              <w:t>et</w:t>
            </w:r>
            <w:r>
              <w:rPr>
                <w:rFonts w:ascii="Calibri" w:eastAsia="Calibri" w:hAnsi="Calibri" w:cs="Calibri"/>
                <w:color w:val="000000"/>
                <w:lang w:val="fr-FR"/>
              </w:rPr>
              <w:t xml:space="preserve"> considéré par certains dans la communauté comme le résultat d'une méfiance paternaliste envers les personnes vivant avec le VIH. Les qualificatifs inutiles stigmatisent également les personnes en renforçant la surestimation du risque de transmission du VIH.</w:t>
            </w:r>
          </w:p>
        </w:tc>
      </w:tr>
      <w:tr w:rsidR="00896FB7" w:rsidRPr="00EE1EE3" w14:paraId="693873FF" w14:textId="77777777" w:rsidTr="00040797">
        <w:tc>
          <w:tcPr>
            <w:tcW w:w="1667" w:type="pct"/>
            <w:shd w:val="clear" w:color="auto" w:fill="EDEDED"/>
          </w:tcPr>
          <w:p w14:paraId="58FB5781" w14:textId="77777777" w:rsidR="00E81653" w:rsidRPr="00727EC8" w:rsidRDefault="007350F8" w:rsidP="00040797">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aucun</w:t>
            </w:r>
            <w:proofErr w:type="gramEnd"/>
            <w:r>
              <w:rPr>
                <w:rFonts w:ascii="Calibri" w:eastAsia="Calibri" w:hAnsi="Calibri" w:cs="Calibri"/>
                <w:b/>
                <w:bCs/>
                <w:color w:val="000000"/>
                <w:lang w:val="fr-FR"/>
              </w:rPr>
              <w:t xml:space="preserve"> risque</w:t>
            </w:r>
          </w:p>
          <w:p w14:paraId="3D58E640" w14:textId="77777777" w:rsidR="00E81653"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risque</w:t>
            </w:r>
            <w:proofErr w:type="gramEnd"/>
            <w:r>
              <w:rPr>
                <w:rFonts w:ascii="Calibri" w:eastAsia="Calibri" w:hAnsi="Calibri" w:cs="Calibri"/>
                <w:b/>
                <w:bCs/>
                <w:color w:val="000000"/>
                <w:lang w:val="fr-FR"/>
              </w:rPr>
              <w:t xml:space="preserve"> zéro</w:t>
            </w:r>
          </w:p>
        </w:tc>
        <w:tc>
          <w:tcPr>
            <w:tcW w:w="1667" w:type="pct"/>
            <w:shd w:val="clear" w:color="auto" w:fill="EDEDED"/>
          </w:tcPr>
          <w:p w14:paraId="1685FECB" w14:textId="77777777" w:rsidR="00E81653"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presque</w:t>
            </w:r>
            <w:proofErr w:type="gramEnd"/>
            <w:r>
              <w:rPr>
                <w:rFonts w:ascii="Calibri" w:eastAsia="Calibri" w:hAnsi="Calibri" w:cs="Calibri"/>
                <w:color w:val="000000"/>
                <w:lang w:val="fr-FR"/>
              </w:rPr>
              <w:t xml:space="preserve"> aucun risque</w:t>
            </w:r>
          </w:p>
          <w:p w14:paraId="2D8C678C" w14:textId="77777777" w:rsidR="00E81653"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réduit</w:t>
            </w:r>
            <w:proofErr w:type="gramEnd"/>
            <w:r>
              <w:rPr>
                <w:rFonts w:ascii="Calibri" w:eastAsia="Calibri" w:hAnsi="Calibri" w:cs="Calibri"/>
                <w:color w:val="000000"/>
                <w:lang w:val="fr-FR"/>
              </w:rPr>
              <w:t xml:space="preserve"> considérablement le risque</w:t>
            </w:r>
          </w:p>
          <w:p w14:paraId="7E6D295E"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un</w:t>
            </w:r>
            <w:proofErr w:type="gramEnd"/>
            <w:r>
              <w:rPr>
                <w:rFonts w:ascii="Calibri" w:eastAsia="Calibri" w:hAnsi="Calibri" w:cs="Calibri"/>
                <w:color w:val="000000"/>
                <w:lang w:val="fr-FR"/>
              </w:rPr>
              <w:t xml:space="preserve"> risque proche de zéro</w:t>
            </w:r>
          </w:p>
        </w:tc>
        <w:tc>
          <w:tcPr>
            <w:tcW w:w="1666" w:type="pct"/>
            <w:vMerge/>
            <w:shd w:val="clear" w:color="auto" w:fill="EDEDED"/>
          </w:tcPr>
          <w:p w14:paraId="3CD8EE3D" w14:textId="77777777" w:rsidR="00E81653" w:rsidRPr="00D15745" w:rsidRDefault="00E81653" w:rsidP="00040797">
            <w:pPr>
              <w:autoSpaceDE w:val="0"/>
              <w:autoSpaceDN w:val="0"/>
              <w:adjustRightInd w:val="0"/>
              <w:spacing w:after="120" w:line="276" w:lineRule="auto"/>
              <w:rPr>
                <w:rFonts w:cstheme="minorHAnsi"/>
                <w:color w:val="000000"/>
                <w:lang w:val="fr-FR"/>
              </w:rPr>
            </w:pPr>
          </w:p>
        </w:tc>
      </w:tr>
      <w:tr w:rsidR="00896FB7" w:rsidRPr="00EE1EE3" w14:paraId="3E1702B3" w14:textId="77777777" w:rsidTr="00040797">
        <w:tc>
          <w:tcPr>
            <w:tcW w:w="1667" w:type="pct"/>
            <w:shd w:val="clear" w:color="auto" w:fill="EDEDED"/>
          </w:tcPr>
          <w:p w14:paraId="35C6F5AC" w14:textId="7D565881" w:rsidR="00E81653"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w:t>
            </w:r>
            <w:proofErr w:type="gramStart"/>
            <w:r>
              <w:rPr>
                <w:rFonts w:ascii="Calibri" w:eastAsia="Calibri" w:hAnsi="Calibri" w:cs="Calibri"/>
                <w:color w:val="000000"/>
                <w:lang w:val="fr-FR"/>
              </w:rPr>
              <w:t>la</w:t>
            </w:r>
            <w:proofErr w:type="gramEnd"/>
            <w:r>
              <w:rPr>
                <w:rFonts w:ascii="Calibri" w:eastAsia="Calibri" w:hAnsi="Calibri" w:cs="Calibri"/>
                <w:color w:val="000000"/>
                <w:lang w:val="fr-FR"/>
              </w:rPr>
              <w:t xml:space="preserve"> suppression virale] </w:t>
            </w:r>
            <w:r>
              <w:rPr>
                <w:rFonts w:ascii="Calibri" w:eastAsia="Calibri" w:hAnsi="Calibri" w:cs="Calibri"/>
                <w:b/>
                <w:bCs/>
                <w:color w:val="000000"/>
                <w:lang w:val="fr-FR"/>
              </w:rPr>
              <w:t xml:space="preserve">prévient </w:t>
            </w:r>
            <w:r w:rsidR="00735495">
              <w:rPr>
                <w:rFonts w:ascii="Calibri" w:eastAsia="Calibri" w:hAnsi="Calibri" w:cs="Calibri"/>
                <w:b/>
                <w:bCs/>
                <w:color w:val="000000"/>
                <w:lang w:val="fr-FR"/>
              </w:rPr>
              <w:t xml:space="preserve">la transmission du </w:t>
            </w:r>
            <w:r>
              <w:rPr>
                <w:rFonts w:ascii="Calibri" w:eastAsia="Calibri" w:hAnsi="Calibri" w:cs="Calibri"/>
                <w:b/>
                <w:bCs/>
                <w:color w:val="000000"/>
                <w:lang w:val="fr-FR"/>
              </w:rPr>
              <w:t>VIH</w:t>
            </w:r>
          </w:p>
        </w:tc>
        <w:tc>
          <w:tcPr>
            <w:tcW w:w="1667" w:type="pct"/>
            <w:shd w:val="clear" w:color="auto" w:fill="EDEDED"/>
          </w:tcPr>
          <w:p w14:paraId="2CCBA0E0"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aide</w:t>
            </w:r>
            <w:proofErr w:type="gramEnd"/>
            <w:r>
              <w:rPr>
                <w:rFonts w:ascii="Calibri" w:eastAsia="Calibri" w:hAnsi="Calibri" w:cs="Calibri"/>
                <w:color w:val="000000"/>
                <w:lang w:val="fr-FR"/>
              </w:rPr>
              <w:t xml:space="preserve"> à prévenir l’infection par le VIH</w:t>
            </w:r>
          </w:p>
        </w:tc>
        <w:tc>
          <w:tcPr>
            <w:tcW w:w="1666" w:type="pct"/>
            <w:vMerge/>
            <w:shd w:val="clear" w:color="auto" w:fill="EDEDED"/>
          </w:tcPr>
          <w:p w14:paraId="1AE77F9A" w14:textId="77777777" w:rsidR="00E81653" w:rsidRPr="00D15745" w:rsidRDefault="00E81653" w:rsidP="00040797">
            <w:pPr>
              <w:autoSpaceDE w:val="0"/>
              <w:autoSpaceDN w:val="0"/>
              <w:adjustRightInd w:val="0"/>
              <w:spacing w:after="120" w:line="276" w:lineRule="auto"/>
              <w:rPr>
                <w:rFonts w:cstheme="minorHAnsi"/>
                <w:color w:val="000000"/>
                <w:lang w:val="fr-FR"/>
              </w:rPr>
            </w:pPr>
          </w:p>
        </w:tc>
      </w:tr>
      <w:tr w:rsidR="00896FB7" w:rsidRPr="00EE1EE3" w14:paraId="106BB86D" w14:textId="77777777" w:rsidTr="00040797">
        <w:tc>
          <w:tcPr>
            <w:tcW w:w="1667" w:type="pct"/>
            <w:shd w:val="clear" w:color="auto" w:fill="EDEDED"/>
          </w:tcPr>
          <w:p w14:paraId="13CF5902"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élimine</w:t>
            </w:r>
            <w:proofErr w:type="gramEnd"/>
            <w:r>
              <w:rPr>
                <w:rFonts w:ascii="Calibri" w:eastAsia="Calibri" w:hAnsi="Calibri" w:cs="Calibri"/>
                <w:b/>
                <w:bCs/>
                <w:color w:val="000000"/>
                <w:lang w:val="fr-FR"/>
              </w:rPr>
              <w:t xml:space="preserve"> la transmission sexuelle ultérieure</w:t>
            </w:r>
          </w:p>
        </w:tc>
        <w:tc>
          <w:tcPr>
            <w:tcW w:w="1667" w:type="pct"/>
            <w:shd w:val="clear" w:color="auto" w:fill="EDEDED"/>
          </w:tcPr>
          <w:p w14:paraId="14965C40" w14:textId="77777777" w:rsidR="00E81653"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rend</w:t>
            </w:r>
            <w:proofErr w:type="gramEnd"/>
            <w:r>
              <w:rPr>
                <w:rFonts w:ascii="Calibri" w:eastAsia="Calibri" w:hAnsi="Calibri" w:cs="Calibri"/>
                <w:color w:val="000000"/>
                <w:lang w:val="fr-FR"/>
              </w:rPr>
              <w:t xml:space="preserve"> difficile la transmission sexuelle du VIH</w:t>
            </w:r>
          </w:p>
        </w:tc>
        <w:tc>
          <w:tcPr>
            <w:tcW w:w="1666" w:type="pct"/>
            <w:vMerge/>
            <w:shd w:val="clear" w:color="auto" w:fill="EDEDED"/>
          </w:tcPr>
          <w:p w14:paraId="675DB167" w14:textId="77777777" w:rsidR="00E81653" w:rsidRPr="00D15745" w:rsidRDefault="00E81653" w:rsidP="00040797">
            <w:pPr>
              <w:autoSpaceDE w:val="0"/>
              <w:autoSpaceDN w:val="0"/>
              <w:adjustRightInd w:val="0"/>
              <w:spacing w:after="120" w:line="276" w:lineRule="auto"/>
              <w:rPr>
                <w:rFonts w:cstheme="minorHAnsi"/>
                <w:color w:val="000000"/>
                <w:lang w:val="fr-FR"/>
              </w:rPr>
            </w:pPr>
          </w:p>
        </w:tc>
      </w:tr>
    </w:tbl>
    <w:p w14:paraId="0F8EF8AE" w14:textId="77777777" w:rsidR="00676705" w:rsidRPr="00D15745" w:rsidRDefault="00676705" w:rsidP="00417223">
      <w:pPr>
        <w:spacing w:after="0" w:line="276" w:lineRule="auto"/>
        <w:rPr>
          <w:rFonts w:cstheme="minorHAnsi"/>
          <w:lang w:val="fr-FR"/>
        </w:rPr>
        <w:sectPr w:rsidR="00676705" w:rsidRPr="00D15745" w:rsidSect="002229B4">
          <w:headerReference w:type="default" r:id="rId39"/>
          <w:pgSz w:w="12240" w:h="15840"/>
          <w:pgMar w:top="1440" w:right="1440" w:bottom="1440" w:left="1440" w:header="720" w:footer="720" w:gutter="0"/>
          <w:cols w:space="720"/>
          <w:docGrid w:linePitch="360"/>
        </w:sectPr>
      </w:pPr>
    </w:p>
    <w:p w14:paraId="7AE6DED5" w14:textId="5E4F6CD4" w:rsidR="00AA4320" w:rsidRPr="00727EC8" w:rsidRDefault="007350F8" w:rsidP="00821716">
      <w:pPr>
        <w:pStyle w:val="Heading1"/>
      </w:pPr>
      <w:bookmarkStart w:id="6" w:name="_Toc39003305"/>
      <w:r>
        <w:rPr>
          <w:rFonts w:ascii="Calibri" w:eastAsia="Calibri" w:hAnsi="Calibri" w:cs="Calibri"/>
          <w:bCs/>
          <w:lang w:val="fr-FR"/>
        </w:rPr>
        <w:lastRenderedPageBreak/>
        <w:t>Sexe, genre et sexualité</w:t>
      </w:r>
      <w:bookmarkEnd w:id="6"/>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896FB7" w14:paraId="15AA9B20" w14:textId="77777777" w:rsidTr="00040797">
        <w:trPr>
          <w:tblHeader/>
        </w:trPr>
        <w:tc>
          <w:tcPr>
            <w:tcW w:w="1667" w:type="pct"/>
            <w:tcBorders>
              <w:top w:val="nil"/>
              <w:left w:val="nil"/>
              <w:bottom w:val="single" w:sz="18" w:space="0" w:color="C9C9C9"/>
            </w:tcBorders>
          </w:tcPr>
          <w:p w14:paraId="05FF975B" w14:textId="77777777" w:rsidR="00AA4320" w:rsidRPr="00727EC8" w:rsidRDefault="007350F8"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fr-FR"/>
              </w:rPr>
              <w:t>Essayez plutôt ceci…</w:t>
            </w:r>
          </w:p>
        </w:tc>
        <w:tc>
          <w:tcPr>
            <w:tcW w:w="1667" w:type="pct"/>
            <w:tcBorders>
              <w:top w:val="nil"/>
              <w:bottom w:val="single" w:sz="18" w:space="0" w:color="C9C9C9"/>
            </w:tcBorders>
          </w:tcPr>
          <w:p w14:paraId="395E28D8" w14:textId="77777777" w:rsidR="00AA4320" w:rsidRPr="00727EC8" w:rsidRDefault="007350F8"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fr-FR"/>
              </w:rPr>
              <w:t>Au lieu de cela…</w:t>
            </w:r>
          </w:p>
        </w:tc>
        <w:tc>
          <w:tcPr>
            <w:tcW w:w="1666" w:type="pct"/>
            <w:tcBorders>
              <w:top w:val="nil"/>
              <w:bottom w:val="single" w:sz="18" w:space="0" w:color="C9C9C9"/>
              <w:right w:val="nil"/>
            </w:tcBorders>
          </w:tcPr>
          <w:p w14:paraId="6C51B571" w14:textId="77777777" w:rsidR="00AA4320" w:rsidRPr="00727EC8" w:rsidRDefault="007350F8"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fr-FR"/>
              </w:rPr>
              <w:t>Parce que...</w:t>
            </w:r>
          </w:p>
        </w:tc>
      </w:tr>
      <w:tr w:rsidR="00896FB7" w:rsidRPr="00EE1EE3" w14:paraId="74576CE8" w14:textId="77777777" w:rsidTr="00040797">
        <w:tc>
          <w:tcPr>
            <w:tcW w:w="1667" w:type="pct"/>
            <w:tcBorders>
              <w:top w:val="single" w:sz="18" w:space="0" w:color="C9C9C9"/>
            </w:tcBorders>
            <w:shd w:val="clear" w:color="auto" w:fill="EDEDED"/>
          </w:tcPr>
          <w:p w14:paraId="4D0DE3D4" w14:textId="26B120ED" w:rsidR="00AA4320" w:rsidRPr="00727EC8" w:rsidRDefault="007350F8" w:rsidP="00040797">
            <w:pPr>
              <w:pStyle w:val="Default"/>
              <w:spacing w:after="120" w:line="276" w:lineRule="auto"/>
              <w:rPr>
                <w:rFonts w:asciiTheme="minorHAnsi" w:hAnsiTheme="minorHAnsi" w:cstheme="minorHAnsi"/>
                <w:b/>
                <w:sz w:val="22"/>
                <w:szCs w:val="22"/>
              </w:rPr>
            </w:pPr>
            <w:proofErr w:type="gramStart"/>
            <w:r>
              <w:rPr>
                <w:rFonts w:ascii="Calibri" w:eastAsia="Calibri" w:hAnsi="Calibri" w:cs="Calibri"/>
                <w:b/>
                <w:bCs/>
                <w:sz w:val="22"/>
                <w:szCs w:val="22"/>
                <w:lang w:val="fr-FR"/>
              </w:rPr>
              <w:t>orientation</w:t>
            </w:r>
            <w:proofErr w:type="gramEnd"/>
            <w:r>
              <w:rPr>
                <w:rFonts w:ascii="Calibri" w:eastAsia="Calibri" w:hAnsi="Calibri" w:cs="Calibri"/>
                <w:b/>
                <w:bCs/>
                <w:sz w:val="22"/>
                <w:szCs w:val="22"/>
                <w:lang w:val="fr-FR"/>
              </w:rPr>
              <w:t xml:space="preserve"> </w:t>
            </w:r>
            <w:r w:rsidR="00735495">
              <w:rPr>
                <w:rFonts w:ascii="Calibri" w:eastAsia="Calibri" w:hAnsi="Calibri" w:cs="Calibri"/>
                <w:b/>
                <w:bCs/>
                <w:sz w:val="22"/>
                <w:szCs w:val="22"/>
                <w:lang w:val="fr-FR"/>
              </w:rPr>
              <w:t xml:space="preserve">affective et </w:t>
            </w:r>
            <w:r>
              <w:rPr>
                <w:rFonts w:ascii="Calibri" w:eastAsia="Calibri" w:hAnsi="Calibri" w:cs="Calibri"/>
                <w:b/>
                <w:bCs/>
                <w:sz w:val="22"/>
                <w:szCs w:val="22"/>
                <w:lang w:val="fr-FR"/>
              </w:rPr>
              <w:t>sexuelle</w:t>
            </w:r>
          </w:p>
        </w:tc>
        <w:tc>
          <w:tcPr>
            <w:tcW w:w="1667" w:type="pct"/>
            <w:tcBorders>
              <w:top w:val="single" w:sz="18" w:space="0" w:color="C9C9C9"/>
            </w:tcBorders>
            <w:shd w:val="clear" w:color="auto" w:fill="EDEDED"/>
          </w:tcPr>
          <w:p w14:paraId="28EA279D" w14:textId="77777777" w:rsidR="00AA4320" w:rsidRPr="00727EC8" w:rsidRDefault="007350F8" w:rsidP="00040797">
            <w:pPr>
              <w:pStyle w:val="Default"/>
              <w:spacing w:after="120" w:line="276" w:lineRule="auto"/>
              <w:rPr>
                <w:rFonts w:asciiTheme="minorHAnsi" w:hAnsiTheme="minorHAnsi" w:cstheme="minorHAnsi"/>
                <w:b/>
                <w:sz w:val="22"/>
                <w:szCs w:val="22"/>
              </w:rPr>
            </w:pPr>
            <w:proofErr w:type="gramStart"/>
            <w:r>
              <w:rPr>
                <w:rFonts w:ascii="Calibri" w:eastAsia="Calibri" w:hAnsi="Calibri" w:cs="Calibri"/>
                <w:sz w:val="22"/>
                <w:szCs w:val="22"/>
                <w:lang w:val="fr-FR"/>
              </w:rPr>
              <w:t>préférence</w:t>
            </w:r>
            <w:proofErr w:type="gramEnd"/>
            <w:r>
              <w:rPr>
                <w:rFonts w:ascii="Calibri" w:eastAsia="Calibri" w:hAnsi="Calibri" w:cs="Calibri"/>
                <w:sz w:val="22"/>
                <w:szCs w:val="22"/>
                <w:lang w:val="fr-FR"/>
              </w:rPr>
              <w:t xml:space="preserve"> sexuelle</w:t>
            </w:r>
          </w:p>
        </w:tc>
        <w:tc>
          <w:tcPr>
            <w:tcW w:w="1666" w:type="pct"/>
            <w:tcBorders>
              <w:top w:val="single" w:sz="18" w:space="0" w:color="C9C9C9"/>
            </w:tcBorders>
            <w:shd w:val="clear" w:color="auto" w:fill="EDEDED"/>
          </w:tcPr>
          <w:p w14:paraId="39FE8595" w14:textId="4F5F6693" w:rsidR="00AA4320"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Préférence » suggère que la non-hétérosexualité est un choix, un concept souvent utilisé pour discriminer la communauté LGBT</w:t>
            </w:r>
            <w:r w:rsidR="00F113F5">
              <w:rPr>
                <w:rFonts w:ascii="Calibri" w:eastAsia="Calibri" w:hAnsi="Calibri" w:cs="Calibri"/>
                <w:sz w:val="22"/>
                <w:szCs w:val="22"/>
                <w:lang w:val="fr-FR"/>
              </w:rPr>
              <w:t>I</w:t>
            </w:r>
            <w:r>
              <w:rPr>
                <w:rFonts w:ascii="Calibri" w:eastAsia="Calibri" w:hAnsi="Calibri" w:cs="Calibri"/>
                <w:sz w:val="22"/>
                <w:szCs w:val="22"/>
                <w:lang w:val="fr-FR"/>
              </w:rPr>
              <w:t>Q. « Préférence » suggère également une sélection parmi deux ou plusieurs choix qui exclut les personnes bisexuelles et pansexuelles, entre autres.</w:t>
            </w:r>
          </w:p>
        </w:tc>
      </w:tr>
      <w:tr w:rsidR="00896FB7" w:rsidRPr="00EE1EE3" w14:paraId="1BB46922" w14:textId="77777777" w:rsidTr="00040797">
        <w:tc>
          <w:tcPr>
            <w:tcW w:w="1667" w:type="pct"/>
          </w:tcPr>
          <w:p w14:paraId="58FA00EF" w14:textId="7F068790" w:rsidR="0087368F" w:rsidRPr="00D15745" w:rsidRDefault="007350F8" w:rsidP="003A473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assigné</w:t>
            </w:r>
            <w:proofErr w:type="gramEnd"/>
            <w:r>
              <w:rPr>
                <w:rFonts w:ascii="Calibri" w:eastAsia="Calibri" w:hAnsi="Calibri" w:cs="Calibri"/>
                <w:b/>
                <w:bCs/>
                <w:sz w:val="22"/>
                <w:szCs w:val="22"/>
                <w:lang w:val="fr-FR"/>
              </w:rPr>
              <w:t xml:space="preserve"> </w:t>
            </w:r>
            <w:r w:rsidR="003A4737">
              <w:rPr>
                <w:rFonts w:ascii="Calibri" w:eastAsia="Calibri" w:hAnsi="Calibri" w:cs="Calibri"/>
                <w:b/>
                <w:bCs/>
                <w:sz w:val="22"/>
                <w:szCs w:val="22"/>
                <w:lang w:val="fr-FR"/>
              </w:rPr>
              <w:t>masculin</w:t>
            </w:r>
            <w:r>
              <w:rPr>
                <w:rFonts w:ascii="Calibri" w:eastAsia="Calibri" w:hAnsi="Calibri" w:cs="Calibri"/>
                <w:b/>
                <w:bCs/>
                <w:sz w:val="22"/>
                <w:szCs w:val="22"/>
                <w:lang w:val="fr-FR"/>
              </w:rPr>
              <w:t>/</w:t>
            </w:r>
            <w:r w:rsidR="003A4737">
              <w:rPr>
                <w:rFonts w:ascii="Calibri" w:eastAsia="Calibri" w:hAnsi="Calibri" w:cs="Calibri"/>
                <w:b/>
                <w:bCs/>
                <w:sz w:val="22"/>
                <w:szCs w:val="22"/>
                <w:lang w:val="fr-FR"/>
              </w:rPr>
              <w:t xml:space="preserve">féminin </w:t>
            </w:r>
            <w:r>
              <w:rPr>
                <w:rFonts w:ascii="Calibri" w:eastAsia="Calibri" w:hAnsi="Calibri" w:cs="Calibri"/>
                <w:b/>
                <w:bCs/>
                <w:sz w:val="22"/>
                <w:szCs w:val="22"/>
                <w:lang w:val="fr-FR"/>
              </w:rPr>
              <w:t>à la naissance</w:t>
            </w:r>
          </w:p>
        </w:tc>
        <w:tc>
          <w:tcPr>
            <w:tcW w:w="1667" w:type="pct"/>
          </w:tcPr>
          <w:p w14:paraId="0A02A605" w14:textId="77777777" w:rsidR="0087368F"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né</w:t>
            </w:r>
            <w:proofErr w:type="gramEnd"/>
            <w:r>
              <w:rPr>
                <w:rFonts w:ascii="Calibri" w:eastAsia="Calibri" w:hAnsi="Calibri" w:cs="Calibri"/>
                <w:sz w:val="22"/>
                <w:szCs w:val="22"/>
                <w:lang w:val="fr-FR"/>
              </w:rPr>
              <w:t>(e) homme/femme</w:t>
            </w:r>
          </w:p>
        </w:tc>
        <w:tc>
          <w:tcPr>
            <w:tcW w:w="1666" w:type="pct"/>
            <w:vMerge w:val="restart"/>
          </w:tcPr>
          <w:p w14:paraId="22A7D573" w14:textId="77777777" w:rsidR="0087368F" w:rsidRPr="00D15745" w:rsidRDefault="007350F8" w:rsidP="00040797">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Les termes préconisés affirment l'identité de genre.</w:t>
            </w:r>
          </w:p>
        </w:tc>
      </w:tr>
      <w:tr w:rsidR="00896FB7" w:rsidRPr="00EE1EE3" w14:paraId="4E4D2C02" w14:textId="77777777" w:rsidTr="00040797">
        <w:tc>
          <w:tcPr>
            <w:tcW w:w="1667" w:type="pct"/>
          </w:tcPr>
          <w:p w14:paraId="7331F459" w14:textId="77777777" w:rsidR="0087368F"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sexe</w:t>
            </w:r>
            <w:proofErr w:type="gramEnd"/>
            <w:r>
              <w:rPr>
                <w:rFonts w:ascii="Calibri" w:eastAsia="Calibri" w:hAnsi="Calibri" w:cs="Calibri"/>
                <w:b/>
                <w:bCs/>
                <w:sz w:val="22"/>
                <w:szCs w:val="22"/>
                <w:lang w:val="fr-FR"/>
              </w:rPr>
              <w:t xml:space="preserve"> assigné à la naissance</w:t>
            </w:r>
          </w:p>
        </w:tc>
        <w:tc>
          <w:tcPr>
            <w:tcW w:w="1667" w:type="pct"/>
          </w:tcPr>
          <w:p w14:paraId="5E77E09C" w14:textId="77777777" w:rsidR="0087368F"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sexe</w:t>
            </w:r>
            <w:proofErr w:type="gramEnd"/>
            <w:r>
              <w:rPr>
                <w:rFonts w:ascii="Calibri" w:eastAsia="Calibri" w:hAnsi="Calibri" w:cs="Calibri"/>
                <w:sz w:val="22"/>
                <w:szCs w:val="22"/>
                <w:lang w:val="fr-FR"/>
              </w:rPr>
              <w:t xml:space="preserve"> biologique</w:t>
            </w:r>
          </w:p>
          <w:p w14:paraId="37F09844" w14:textId="77777777" w:rsidR="0087368F"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sexe</w:t>
            </w:r>
            <w:proofErr w:type="gramEnd"/>
            <w:r>
              <w:rPr>
                <w:rFonts w:ascii="Calibri" w:eastAsia="Calibri" w:hAnsi="Calibri" w:cs="Calibri"/>
                <w:sz w:val="22"/>
                <w:szCs w:val="22"/>
                <w:lang w:val="fr-FR"/>
              </w:rPr>
              <w:t xml:space="preserve"> à la naissance</w:t>
            </w:r>
          </w:p>
        </w:tc>
        <w:tc>
          <w:tcPr>
            <w:tcW w:w="1666" w:type="pct"/>
            <w:vMerge/>
          </w:tcPr>
          <w:p w14:paraId="240E2925" w14:textId="77777777" w:rsidR="0087368F" w:rsidRPr="00D15745" w:rsidRDefault="0087368F" w:rsidP="00040797">
            <w:pPr>
              <w:pStyle w:val="Default"/>
              <w:spacing w:after="120" w:line="276" w:lineRule="auto"/>
              <w:rPr>
                <w:rFonts w:asciiTheme="minorHAnsi" w:hAnsiTheme="minorHAnsi" w:cstheme="minorHAnsi"/>
                <w:sz w:val="22"/>
                <w:szCs w:val="22"/>
                <w:lang w:val="fr-FR"/>
              </w:rPr>
            </w:pPr>
          </w:p>
        </w:tc>
      </w:tr>
      <w:tr w:rsidR="00896FB7" w:rsidRPr="00EE1EE3" w14:paraId="779B090D" w14:textId="77777777" w:rsidTr="00040797">
        <w:tc>
          <w:tcPr>
            <w:tcW w:w="1667" w:type="pct"/>
          </w:tcPr>
          <w:p w14:paraId="019E3214" w14:textId="193DE7B2" w:rsidR="0087368F"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homme</w:t>
            </w:r>
            <w:proofErr w:type="gramEnd"/>
            <w:r>
              <w:rPr>
                <w:rFonts w:ascii="Calibri" w:eastAsia="Calibri" w:hAnsi="Calibri" w:cs="Calibri"/>
                <w:b/>
                <w:bCs/>
                <w:sz w:val="22"/>
                <w:szCs w:val="22"/>
                <w:lang w:val="fr-FR"/>
              </w:rPr>
              <w:t xml:space="preserve"> trans</w:t>
            </w:r>
            <w:r w:rsidR="009A045A">
              <w:rPr>
                <w:rFonts w:ascii="Calibri" w:eastAsia="Calibri" w:hAnsi="Calibri" w:cs="Calibri"/>
                <w:b/>
                <w:bCs/>
                <w:sz w:val="22"/>
                <w:szCs w:val="22"/>
                <w:lang w:val="fr-FR"/>
              </w:rPr>
              <w:t>(</w:t>
            </w:r>
            <w:r>
              <w:rPr>
                <w:rFonts w:ascii="Calibri" w:eastAsia="Calibri" w:hAnsi="Calibri" w:cs="Calibri"/>
                <w:b/>
                <w:bCs/>
                <w:sz w:val="22"/>
                <w:szCs w:val="22"/>
                <w:lang w:val="fr-FR"/>
              </w:rPr>
              <w:t>genre</w:t>
            </w:r>
            <w:r w:rsidR="009A045A">
              <w:rPr>
                <w:rFonts w:ascii="Calibri" w:eastAsia="Calibri" w:hAnsi="Calibri" w:cs="Calibri"/>
                <w:b/>
                <w:bCs/>
                <w:sz w:val="22"/>
                <w:szCs w:val="22"/>
                <w:lang w:val="fr-FR"/>
              </w:rPr>
              <w:t>)</w:t>
            </w:r>
          </w:p>
        </w:tc>
        <w:tc>
          <w:tcPr>
            <w:tcW w:w="1667" w:type="pct"/>
          </w:tcPr>
          <w:p w14:paraId="2CF3EB94" w14:textId="77777777" w:rsidR="0087368F"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ancienne</w:t>
            </w:r>
            <w:proofErr w:type="gramEnd"/>
            <w:r>
              <w:rPr>
                <w:rFonts w:ascii="Calibri" w:eastAsia="Calibri" w:hAnsi="Calibri" w:cs="Calibri"/>
                <w:sz w:val="22"/>
                <w:szCs w:val="22"/>
                <w:lang w:val="fr-FR"/>
              </w:rPr>
              <w:t xml:space="preserve"> femme</w:t>
            </w:r>
          </w:p>
          <w:p w14:paraId="24A15D18" w14:textId="77777777" w:rsidR="0087368F"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né</w:t>
            </w:r>
            <w:proofErr w:type="gramEnd"/>
            <w:r>
              <w:rPr>
                <w:rFonts w:ascii="Calibri" w:eastAsia="Calibri" w:hAnsi="Calibri" w:cs="Calibri"/>
                <w:sz w:val="22"/>
                <w:szCs w:val="22"/>
                <w:lang w:val="fr-FR"/>
              </w:rPr>
              <w:t xml:space="preserve"> femme</w:t>
            </w:r>
          </w:p>
          <w:p w14:paraId="5D7D15E8" w14:textId="77777777" w:rsidR="0087368F" w:rsidRPr="00D15745" w:rsidRDefault="007350F8" w:rsidP="00040797">
            <w:pPr>
              <w:pStyle w:val="Default"/>
              <w:spacing w:after="120" w:line="276" w:lineRule="auto"/>
              <w:rPr>
                <w:rFonts w:asciiTheme="minorHAnsi" w:hAnsiTheme="minorHAnsi" w:cstheme="minorHAnsi"/>
                <w:sz w:val="22"/>
                <w:szCs w:val="22"/>
                <w:lang w:val="fr-FR"/>
              </w:rPr>
            </w:pPr>
            <w:proofErr w:type="spellStart"/>
            <w:proofErr w:type="gramStart"/>
            <w:r>
              <w:rPr>
                <w:rFonts w:ascii="Calibri" w:eastAsia="Calibri" w:hAnsi="Calibri" w:cs="Calibri"/>
                <w:sz w:val="22"/>
                <w:szCs w:val="22"/>
                <w:lang w:val="fr-FR"/>
              </w:rPr>
              <w:t>female</w:t>
            </w:r>
            <w:proofErr w:type="spellEnd"/>
            <w:proofErr w:type="gramEnd"/>
            <w:r>
              <w:rPr>
                <w:rFonts w:ascii="Calibri" w:eastAsia="Calibri" w:hAnsi="Calibri" w:cs="Calibri"/>
                <w:sz w:val="22"/>
                <w:szCs w:val="22"/>
                <w:lang w:val="fr-FR"/>
              </w:rPr>
              <w:t>-to-male (FTM)</w:t>
            </w:r>
          </w:p>
        </w:tc>
        <w:tc>
          <w:tcPr>
            <w:tcW w:w="1666" w:type="pct"/>
            <w:vMerge/>
          </w:tcPr>
          <w:p w14:paraId="22BE3F9C" w14:textId="77777777" w:rsidR="0087368F" w:rsidRPr="00D15745" w:rsidRDefault="0087368F" w:rsidP="00040797">
            <w:pPr>
              <w:pStyle w:val="Default"/>
              <w:spacing w:after="120" w:line="276" w:lineRule="auto"/>
              <w:rPr>
                <w:rFonts w:asciiTheme="minorHAnsi" w:hAnsiTheme="minorHAnsi" w:cstheme="minorHAnsi"/>
                <w:sz w:val="22"/>
                <w:szCs w:val="22"/>
                <w:lang w:val="fr-FR"/>
              </w:rPr>
            </w:pPr>
          </w:p>
        </w:tc>
      </w:tr>
      <w:tr w:rsidR="00896FB7" w:rsidRPr="00EE1EE3" w14:paraId="6082473D" w14:textId="77777777" w:rsidTr="00040797">
        <w:tc>
          <w:tcPr>
            <w:tcW w:w="1667" w:type="pct"/>
          </w:tcPr>
          <w:p w14:paraId="11B73F92" w14:textId="46B8274D" w:rsidR="0087368F"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femme</w:t>
            </w:r>
            <w:proofErr w:type="gramEnd"/>
            <w:r>
              <w:rPr>
                <w:rFonts w:ascii="Calibri" w:eastAsia="Calibri" w:hAnsi="Calibri" w:cs="Calibri"/>
                <w:b/>
                <w:bCs/>
                <w:sz w:val="22"/>
                <w:szCs w:val="22"/>
                <w:lang w:val="fr-FR"/>
              </w:rPr>
              <w:t xml:space="preserve"> trans</w:t>
            </w:r>
            <w:r w:rsidR="00F20901">
              <w:rPr>
                <w:rFonts w:ascii="Calibri" w:eastAsia="Calibri" w:hAnsi="Calibri" w:cs="Calibri"/>
                <w:b/>
                <w:bCs/>
                <w:sz w:val="22"/>
                <w:szCs w:val="22"/>
                <w:lang w:val="fr-FR"/>
              </w:rPr>
              <w:t>(</w:t>
            </w:r>
            <w:r>
              <w:rPr>
                <w:rFonts w:ascii="Calibri" w:eastAsia="Calibri" w:hAnsi="Calibri" w:cs="Calibri"/>
                <w:b/>
                <w:bCs/>
                <w:sz w:val="22"/>
                <w:szCs w:val="22"/>
                <w:lang w:val="fr-FR"/>
              </w:rPr>
              <w:t>genre</w:t>
            </w:r>
            <w:r w:rsidR="00F20901">
              <w:rPr>
                <w:rFonts w:ascii="Calibri" w:eastAsia="Calibri" w:hAnsi="Calibri" w:cs="Calibri"/>
                <w:b/>
                <w:bCs/>
                <w:sz w:val="22"/>
                <w:szCs w:val="22"/>
                <w:lang w:val="fr-FR"/>
              </w:rPr>
              <w:t>)</w:t>
            </w:r>
          </w:p>
        </w:tc>
        <w:tc>
          <w:tcPr>
            <w:tcW w:w="1667" w:type="pct"/>
          </w:tcPr>
          <w:p w14:paraId="3E0E83A7" w14:textId="77777777" w:rsidR="0087368F"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ancien</w:t>
            </w:r>
            <w:proofErr w:type="gramEnd"/>
            <w:r>
              <w:rPr>
                <w:rFonts w:ascii="Calibri" w:eastAsia="Calibri" w:hAnsi="Calibri" w:cs="Calibri"/>
                <w:sz w:val="22"/>
                <w:szCs w:val="22"/>
                <w:lang w:val="fr-FR"/>
              </w:rPr>
              <w:t xml:space="preserve"> homme</w:t>
            </w:r>
          </w:p>
          <w:p w14:paraId="4DDD7FAC" w14:textId="77777777" w:rsidR="0087368F"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né</w:t>
            </w:r>
            <w:proofErr w:type="gramEnd"/>
            <w:r>
              <w:rPr>
                <w:rFonts w:ascii="Calibri" w:eastAsia="Calibri" w:hAnsi="Calibri" w:cs="Calibri"/>
                <w:sz w:val="22"/>
                <w:szCs w:val="22"/>
                <w:lang w:val="fr-FR"/>
              </w:rPr>
              <w:t xml:space="preserve"> homme</w:t>
            </w:r>
          </w:p>
          <w:p w14:paraId="4577D9CD" w14:textId="77777777" w:rsidR="0087368F"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male</w:t>
            </w:r>
            <w:proofErr w:type="gramEnd"/>
            <w:r>
              <w:rPr>
                <w:rFonts w:ascii="Calibri" w:eastAsia="Calibri" w:hAnsi="Calibri" w:cs="Calibri"/>
                <w:sz w:val="22"/>
                <w:szCs w:val="22"/>
                <w:lang w:val="fr-FR"/>
              </w:rPr>
              <w:t>-to-</w:t>
            </w:r>
            <w:proofErr w:type="spellStart"/>
            <w:r>
              <w:rPr>
                <w:rFonts w:ascii="Calibri" w:eastAsia="Calibri" w:hAnsi="Calibri" w:cs="Calibri"/>
                <w:sz w:val="22"/>
                <w:szCs w:val="22"/>
                <w:lang w:val="fr-FR"/>
              </w:rPr>
              <w:t>female</w:t>
            </w:r>
            <w:proofErr w:type="spellEnd"/>
            <w:r>
              <w:rPr>
                <w:rFonts w:ascii="Calibri" w:eastAsia="Calibri" w:hAnsi="Calibri" w:cs="Calibri"/>
                <w:sz w:val="22"/>
                <w:szCs w:val="22"/>
                <w:lang w:val="fr-FR"/>
              </w:rPr>
              <w:t xml:space="preserve"> (MTF)</w:t>
            </w:r>
          </w:p>
        </w:tc>
        <w:tc>
          <w:tcPr>
            <w:tcW w:w="1666" w:type="pct"/>
            <w:vMerge/>
          </w:tcPr>
          <w:p w14:paraId="21EB7207" w14:textId="77777777" w:rsidR="0087368F" w:rsidRPr="00D15745" w:rsidRDefault="0087368F" w:rsidP="00040797">
            <w:pPr>
              <w:pStyle w:val="Default"/>
              <w:spacing w:after="120" w:line="276" w:lineRule="auto"/>
              <w:rPr>
                <w:rFonts w:asciiTheme="minorHAnsi" w:hAnsiTheme="minorHAnsi" w:cstheme="minorHAnsi"/>
                <w:sz w:val="22"/>
                <w:szCs w:val="22"/>
                <w:lang w:val="fr-FR"/>
              </w:rPr>
            </w:pPr>
          </w:p>
        </w:tc>
      </w:tr>
      <w:tr w:rsidR="00896FB7" w:rsidRPr="00EE1EE3" w14:paraId="6EA1B154" w14:textId="77777777" w:rsidTr="00040797">
        <w:tc>
          <w:tcPr>
            <w:tcW w:w="1667" w:type="pct"/>
            <w:shd w:val="clear" w:color="auto" w:fill="EDEDED"/>
          </w:tcPr>
          <w:p w14:paraId="00F3E10E" w14:textId="18066ADB" w:rsidR="00FA2198" w:rsidRPr="00727EC8" w:rsidRDefault="00495F7B" w:rsidP="00040797">
            <w:pPr>
              <w:pStyle w:val="Default"/>
              <w:spacing w:line="276" w:lineRule="auto"/>
              <w:rPr>
                <w:rFonts w:asciiTheme="minorHAnsi" w:hAnsiTheme="minorHAnsi" w:cstheme="minorHAnsi"/>
                <w:b/>
                <w:sz w:val="22"/>
                <w:szCs w:val="22"/>
              </w:rPr>
            </w:pPr>
            <w:r>
              <w:rPr>
                <w:rFonts w:ascii="Calibri" w:eastAsia="Calibri" w:hAnsi="Calibri" w:cs="Calibri"/>
                <w:b/>
                <w:bCs/>
                <w:sz w:val="22"/>
                <w:szCs w:val="22"/>
                <w:lang w:val="fr-FR"/>
              </w:rPr>
              <w:t>T</w:t>
            </w:r>
            <w:r w:rsidR="007350F8">
              <w:rPr>
                <w:rFonts w:ascii="Calibri" w:eastAsia="Calibri" w:hAnsi="Calibri" w:cs="Calibri"/>
                <w:b/>
                <w:bCs/>
                <w:sz w:val="22"/>
                <w:szCs w:val="22"/>
                <w:lang w:val="fr-FR"/>
              </w:rPr>
              <w:t>ransgenre</w:t>
            </w:r>
            <w:r>
              <w:rPr>
                <w:rFonts w:ascii="Calibri" w:eastAsia="Calibri" w:hAnsi="Calibri" w:cs="Calibri"/>
                <w:b/>
                <w:bCs/>
                <w:sz w:val="22"/>
                <w:szCs w:val="22"/>
                <w:lang w:val="fr-FR"/>
              </w:rPr>
              <w:t xml:space="preserve"> (adjectif)</w:t>
            </w:r>
          </w:p>
          <w:p w14:paraId="270D8D29" w14:textId="1DCEFA50" w:rsidR="00FA2198"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trans</w:t>
            </w:r>
            <w:proofErr w:type="gramEnd"/>
            <w:r w:rsidR="00495F7B">
              <w:rPr>
                <w:rFonts w:ascii="Calibri" w:eastAsia="Calibri" w:hAnsi="Calibri" w:cs="Calibri"/>
                <w:b/>
                <w:bCs/>
                <w:sz w:val="22"/>
                <w:szCs w:val="22"/>
                <w:lang w:val="fr-FR"/>
              </w:rPr>
              <w:t xml:space="preserve"> (adjectif)</w:t>
            </w:r>
          </w:p>
        </w:tc>
        <w:tc>
          <w:tcPr>
            <w:tcW w:w="1667" w:type="pct"/>
            <w:shd w:val="clear" w:color="auto" w:fill="EDEDED"/>
          </w:tcPr>
          <w:p w14:paraId="4DED24C7" w14:textId="77777777" w:rsidR="00FA2198" w:rsidRPr="00727EC8" w:rsidRDefault="007350F8" w:rsidP="00040797">
            <w:pPr>
              <w:pStyle w:val="Default"/>
              <w:spacing w:after="120" w:line="276" w:lineRule="auto"/>
              <w:rPr>
                <w:rFonts w:asciiTheme="minorHAnsi" w:hAnsiTheme="minorHAnsi" w:cstheme="minorHAnsi"/>
                <w:b/>
                <w:sz w:val="22"/>
                <w:szCs w:val="22"/>
              </w:rPr>
            </w:pPr>
            <w:proofErr w:type="gramStart"/>
            <w:r>
              <w:rPr>
                <w:rFonts w:ascii="Calibri" w:eastAsia="Calibri" w:hAnsi="Calibri" w:cs="Calibri"/>
                <w:sz w:val="22"/>
                <w:szCs w:val="22"/>
                <w:lang w:val="fr-FR"/>
              </w:rPr>
              <w:t>transsexuel</w:t>
            </w:r>
            <w:proofErr w:type="gramEnd"/>
          </w:p>
        </w:tc>
        <w:tc>
          <w:tcPr>
            <w:tcW w:w="1666" w:type="pct"/>
            <w:vMerge w:val="restart"/>
            <w:shd w:val="clear" w:color="auto" w:fill="EDEDED"/>
          </w:tcPr>
          <w:p w14:paraId="739C1DD9" w14:textId="2322807E" w:rsidR="00495F7B" w:rsidRPr="00F113F5" w:rsidRDefault="007350F8" w:rsidP="00495F7B">
            <w:pPr>
              <w:pStyle w:val="CommentText"/>
              <w:rPr>
                <w:sz w:val="22"/>
                <w:szCs w:val="22"/>
                <w:lang w:val="fr-CH"/>
              </w:rPr>
            </w:pPr>
            <w:r w:rsidRPr="00495F7B">
              <w:rPr>
                <w:rFonts w:ascii="Calibri" w:eastAsia="Calibri" w:hAnsi="Calibri" w:cs="Calibri"/>
                <w:sz w:val="22"/>
                <w:szCs w:val="22"/>
                <w:lang w:val="fr-FR"/>
              </w:rPr>
              <w:t>« Transsexuel » est un terme dépassé</w:t>
            </w:r>
            <w:r w:rsidR="00D11046" w:rsidRPr="00495F7B">
              <w:rPr>
                <w:rFonts w:ascii="Calibri" w:eastAsia="Calibri" w:hAnsi="Calibri" w:cs="Calibri"/>
                <w:sz w:val="22"/>
                <w:szCs w:val="22"/>
                <w:lang w:val="fr-FR"/>
              </w:rPr>
              <w:t xml:space="preserve"> issu de la psychiatrie</w:t>
            </w:r>
            <w:r w:rsidRPr="00495F7B">
              <w:rPr>
                <w:rFonts w:ascii="Calibri" w:eastAsia="Calibri" w:hAnsi="Calibri" w:cs="Calibri"/>
                <w:sz w:val="22"/>
                <w:szCs w:val="22"/>
                <w:lang w:val="fr-FR"/>
              </w:rPr>
              <w:t xml:space="preserve"> qui </w:t>
            </w:r>
            <w:r w:rsidR="00D11046" w:rsidRPr="00495F7B">
              <w:rPr>
                <w:rFonts w:ascii="Calibri" w:eastAsia="Calibri" w:hAnsi="Calibri" w:cs="Calibri"/>
                <w:sz w:val="22"/>
                <w:szCs w:val="22"/>
                <w:lang w:val="fr-FR"/>
              </w:rPr>
              <w:t xml:space="preserve">se réfère au sexe et </w:t>
            </w:r>
            <w:r w:rsidRPr="00495F7B">
              <w:rPr>
                <w:rFonts w:ascii="Calibri" w:eastAsia="Calibri" w:hAnsi="Calibri" w:cs="Calibri"/>
                <w:sz w:val="22"/>
                <w:szCs w:val="22"/>
                <w:lang w:val="fr-FR"/>
              </w:rPr>
              <w:t xml:space="preserve">qui diverge des expériences vécues par la plupart des personnes trans. </w:t>
            </w:r>
            <w:r w:rsidR="00495F7B" w:rsidRPr="00495F7B">
              <w:rPr>
                <w:rFonts w:ascii="Calibri" w:eastAsia="Calibri" w:hAnsi="Calibri" w:cs="Calibri"/>
                <w:sz w:val="22"/>
                <w:szCs w:val="22"/>
                <w:lang w:val="fr-FR"/>
              </w:rPr>
              <w:t xml:space="preserve">Un emploi comme substantif du </w:t>
            </w:r>
            <w:proofErr w:type="gramStart"/>
            <w:r w:rsidR="00495F7B" w:rsidRPr="00495F7B">
              <w:rPr>
                <w:rFonts w:ascii="Calibri" w:eastAsia="Calibri" w:hAnsi="Calibri" w:cs="Calibri"/>
                <w:sz w:val="22"/>
                <w:szCs w:val="22"/>
                <w:lang w:val="fr-FR"/>
              </w:rPr>
              <w:t xml:space="preserve">terme  </w:t>
            </w:r>
            <w:r w:rsidRPr="00495F7B">
              <w:rPr>
                <w:rFonts w:ascii="Calibri" w:eastAsia="Calibri" w:hAnsi="Calibri" w:cs="Calibri"/>
                <w:sz w:val="22"/>
                <w:szCs w:val="22"/>
                <w:lang w:val="fr-FR"/>
              </w:rPr>
              <w:t>«</w:t>
            </w:r>
            <w:proofErr w:type="gramEnd"/>
            <w:r w:rsidRPr="00495F7B">
              <w:rPr>
                <w:rFonts w:ascii="Calibri" w:eastAsia="Calibri" w:hAnsi="Calibri" w:cs="Calibri"/>
                <w:sz w:val="22"/>
                <w:szCs w:val="22"/>
                <w:lang w:val="fr-FR"/>
              </w:rPr>
              <w:t xml:space="preserve"> transgenres » est dépassé </w:t>
            </w:r>
            <w:r w:rsidR="00495F7B" w:rsidRPr="00495F7B">
              <w:rPr>
                <w:rFonts w:ascii="Calibri" w:eastAsia="Calibri" w:hAnsi="Calibri" w:cs="Calibri"/>
                <w:sz w:val="22"/>
                <w:szCs w:val="22"/>
                <w:lang w:val="fr-FR"/>
              </w:rPr>
              <w:t xml:space="preserve">car il </w:t>
            </w:r>
            <w:r w:rsidR="00495F7B" w:rsidRPr="00F113F5">
              <w:rPr>
                <w:sz w:val="22"/>
                <w:szCs w:val="22"/>
                <w:lang w:val="fr-CH"/>
              </w:rPr>
              <w:t>conduirait à déshumaniser les personnes et/ou à les résumer à leur expérience trans.</w:t>
            </w:r>
          </w:p>
          <w:p w14:paraId="1DA8C531" w14:textId="7DA815FF" w:rsidR="00FA2198" w:rsidRPr="00D15745" w:rsidRDefault="00FA2198" w:rsidP="00495F7B">
            <w:pPr>
              <w:pStyle w:val="Default"/>
              <w:spacing w:after="120" w:line="276" w:lineRule="auto"/>
              <w:rPr>
                <w:rFonts w:asciiTheme="minorHAnsi" w:hAnsiTheme="minorHAnsi" w:cstheme="minorHAnsi"/>
                <w:sz w:val="22"/>
                <w:szCs w:val="22"/>
                <w:lang w:val="fr-FR"/>
              </w:rPr>
            </w:pPr>
          </w:p>
        </w:tc>
      </w:tr>
      <w:tr w:rsidR="00896FB7" w14:paraId="2DDFD4F3" w14:textId="77777777" w:rsidTr="00040797">
        <w:tc>
          <w:tcPr>
            <w:tcW w:w="1667" w:type="pct"/>
            <w:shd w:val="clear" w:color="auto" w:fill="EDEDED"/>
          </w:tcPr>
          <w:p w14:paraId="26E493DD" w14:textId="77777777" w:rsidR="009147CC" w:rsidRDefault="009147CC" w:rsidP="00040797">
            <w:pPr>
              <w:pStyle w:val="Default"/>
              <w:spacing w:line="276" w:lineRule="auto"/>
              <w:rPr>
                <w:rFonts w:ascii="Calibri" w:eastAsia="Calibri" w:hAnsi="Calibri" w:cs="Calibri"/>
                <w:b/>
                <w:bCs/>
                <w:sz w:val="22"/>
                <w:szCs w:val="22"/>
                <w:lang w:val="fr-FR"/>
              </w:rPr>
            </w:pPr>
            <w:proofErr w:type="gramStart"/>
            <w:r>
              <w:rPr>
                <w:rFonts w:ascii="Calibri" w:eastAsia="Calibri" w:hAnsi="Calibri" w:cs="Calibri"/>
                <w:b/>
                <w:bCs/>
                <w:sz w:val="22"/>
                <w:szCs w:val="22"/>
                <w:lang w:val="fr-FR"/>
              </w:rPr>
              <w:t>personne</w:t>
            </w:r>
            <w:proofErr w:type="gramEnd"/>
            <w:r>
              <w:rPr>
                <w:rFonts w:ascii="Calibri" w:eastAsia="Calibri" w:hAnsi="Calibri" w:cs="Calibri"/>
                <w:b/>
                <w:bCs/>
                <w:sz w:val="22"/>
                <w:szCs w:val="22"/>
                <w:lang w:val="fr-FR"/>
              </w:rPr>
              <w:t>(s) trans</w:t>
            </w:r>
          </w:p>
          <w:p w14:paraId="4C1CDD20" w14:textId="3D9F64A3" w:rsidR="00FA2198"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personne</w:t>
            </w:r>
            <w:proofErr w:type="gramEnd"/>
            <w:r>
              <w:rPr>
                <w:rFonts w:ascii="Calibri" w:eastAsia="Calibri" w:hAnsi="Calibri" w:cs="Calibri"/>
                <w:b/>
                <w:bCs/>
                <w:sz w:val="22"/>
                <w:szCs w:val="22"/>
                <w:lang w:val="fr-FR"/>
              </w:rPr>
              <w:t>(s) transgenre(s)</w:t>
            </w:r>
          </w:p>
          <w:p w14:paraId="0A5BE6FA" w14:textId="77777777" w:rsidR="00FA2198" w:rsidRPr="00D15745" w:rsidRDefault="007350F8" w:rsidP="00040797">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personne</w:t>
            </w:r>
            <w:proofErr w:type="gramEnd"/>
            <w:r>
              <w:rPr>
                <w:rFonts w:ascii="Calibri" w:eastAsia="Calibri" w:hAnsi="Calibri" w:cs="Calibri"/>
                <w:b/>
                <w:bCs/>
                <w:sz w:val="22"/>
                <w:szCs w:val="22"/>
                <w:lang w:val="fr-FR"/>
              </w:rPr>
              <w:t>(s) qui est/sont transgenre(s)</w:t>
            </w:r>
          </w:p>
          <w:p w14:paraId="02B8A9D7" w14:textId="77777777" w:rsidR="00FA2198" w:rsidRPr="00D15745" w:rsidRDefault="007350F8" w:rsidP="00040797">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personne</w:t>
            </w:r>
            <w:proofErr w:type="gramEnd"/>
            <w:r>
              <w:rPr>
                <w:rFonts w:ascii="Calibri" w:eastAsia="Calibri" w:hAnsi="Calibri" w:cs="Calibri"/>
                <w:b/>
                <w:bCs/>
                <w:sz w:val="22"/>
                <w:szCs w:val="22"/>
                <w:lang w:val="fr-FR"/>
              </w:rPr>
              <w:t>(s) ayant une expérience trans</w:t>
            </w:r>
          </w:p>
        </w:tc>
        <w:tc>
          <w:tcPr>
            <w:tcW w:w="1667" w:type="pct"/>
            <w:shd w:val="clear" w:color="auto" w:fill="EDEDED"/>
          </w:tcPr>
          <w:p w14:paraId="0158463F" w14:textId="77777777" w:rsidR="00FA2198" w:rsidRPr="00727EC8" w:rsidRDefault="007350F8" w:rsidP="00040797">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transsexuel</w:t>
            </w:r>
            <w:proofErr w:type="gramEnd"/>
            <w:r>
              <w:rPr>
                <w:rFonts w:ascii="Calibri" w:eastAsia="Calibri" w:hAnsi="Calibri" w:cs="Calibri"/>
                <w:sz w:val="22"/>
                <w:szCs w:val="22"/>
                <w:lang w:val="fr-FR"/>
              </w:rPr>
              <w:t>(s)</w:t>
            </w:r>
          </w:p>
        </w:tc>
        <w:tc>
          <w:tcPr>
            <w:tcW w:w="1666" w:type="pct"/>
            <w:vMerge/>
            <w:shd w:val="clear" w:color="auto" w:fill="EDEDED"/>
          </w:tcPr>
          <w:p w14:paraId="328B87A7" w14:textId="77777777" w:rsidR="00FA2198" w:rsidRPr="00727EC8" w:rsidRDefault="00FA2198" w:rsidP="00040797">
            <w:pPr>
              <w:pStyle w:val="Default"/>
              <w:spacing w:after="120" w:line="276" w:lineRule="auto"/>
              <w:rPr>
                <w:rFonts w:asciiTheme="minorHAnsi" w:hAnsiTheme="minorHAnsi" w:cstheme="minorHAnsi"/>
                <w:sz w:val="22"/>
                <w:szCs w:val="22"/>
              </w:rPr>
            </w:pPr>
          </w:p>
        </w:tc>
      </w:tr>
      <w:tr w:rsidR="00896FB7" w:rsidRPr="00EE1EE3" w14:paraId="1EC183F3" w14:textId="77777777" w:rsidTr="00040797">
        <w:tc>
          <w:tcPr>
            <w:tcW w:w="1667" w:type="pct"/>
          </w:tcPr>
          <w:p w14:paraId="7EF93951" w14:textId="7FED94E1" w:rsidR="00FA2198" w:rsidRPr="00F113F5" w:rsidRDefault="007350F8" w:rsidP="00040797">
            <w:pPr>
              <w:autoSpaceDE w:val="0"/>
              <w:autoSpaceDN w:val="0"/>
              <w:adjustRightInd w:val="0"/>
              <w:spacing w:after="120" w:line="276" w:lineRule="auto"/>
              <w:rPr>
                <w:rFonts w:cstheme="minorHAnsi"/>
                <w:color w:val="000000"/>
                <w:lang w:val="fr-CH"/>
              </w:rPr>
            </w:pPr>
            <w:proofErr w:type="gramStart"/>
            <w:r>
              <w:rPr>
                <w:rFonts w:ascii="Calibri" w:eastAsia="Calibri" w:hAnsi="Calibri" w:cs="Calibri"/>
                <w:b/>
                <w:bCs/>
                <w:color w:val="000000"/>
                <w:lang w:val="fr-FR"/>
              </w:rPr>
              <w:t>homme</w:t>
            </w:r>
            <w:proofErr w:type="gramEnd"/>
            <w:r>
              <w:rPr>
                <w:rFonts w:ascii="Calibri" w:eastAsia="Calibri" w:hAnsi="Calibri" w:cs="Calibri"/>
                <w:b/>
                <w:bCs/>
                <w:color w:val="000000"/>
                <w:lang w:val="fr-FR"/>
              </w:rPr>
              <w:t xml:space="preserve"> trans</w:t>
            </w:r>
            <w:r w:rsidR="00495F7B">
              <w:rPr>
                <w:rFonts w:ascii="Calibri" w:eastAsia="Calibri" w:hAnsi="Calibri" w:cs="Calibri"/>
                <w:b/>
                <w:bCs/>
                <w:color w:val="000000"/>
                <w:lang w:val="fr-FR"/>
              </w:rPr>
              <w:t xml:space="preserve"> ou personne trans</w:t>
            </w:r>
          </w:p>
        </w:tc>
        <w:tc>
          <w:tcPr>
            <w:tcW w:w="1667" w:type="pct"/>
          </w:tcPr>
          <w:p w14:paraId="3A18C21D" w14:textId="77777777" w:rsidR="00FA2198" w:rsidRPr="00727EC8" w:rsidRDefault="007350F8" w:rsidP="00040797">
            <w:pPr>
              <w:keepNext/>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trans</w:t>
            </w:r>
            <w:proofErr w:type="gramEnd"/>
          </w:p>
        </w:tc>
        <w:tc>
          <w:tcPr>
            <w:tcW w:w="1666" w:type="pct"/>
            <w:vMerge w:val="restart"/>
          </w:tcPr>
          <w:p w14:paraId="62DBA122" w14:textId="77777777" w:rsidR="00FA2198"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 Trans » est un adjectif qui permet de décrire l'identité de genre d'une personne et qui doit être traité comme n’importe quel autre adjectif. Le </w:t>
            </w:r>
            <w:r>
              <w:rPr>
                <w:rFonts w:ascii="Calibri" w:eastAsia="Calibri" w:hAnsi="Calibri" w:cs="Calibri"/>
                <w:color w:val="000000"/>
                <w:lang w:val="fr-FR"/>
              </w:rPr>
              <w:lastRenderedPageBreak/>
              <w:t>substantif seul risque de suggérer qu'un homme ou une femme trans est plus (ou moins) qu'un simple homme ou une simple femme, ce qui va à l'encontre du nombre de personnes trans qui s'identifient comme tels.</w:t>
            </w:r>
          </w:p>
        </w:tc>
      </w:tr>
      <w:tr w:rsidR="00896FB7" w14:paraId="52A5E16A" w14:textId="77777777" w:rsidTr="00040797">
        <w:tc>
          <w:tcPr>
            <w:tcW w:w="1667" w:type="pct"/>
          </w:tcPr>
          <w:p w14:paraId="00EFB8A7" w14:textId="63024657" w:rsidR="00FA2198" w:rsidRPr="00F113F5" w:rsidRDefault="007350F8" w:rsidP="00040797">
            <w:pPr>
              <w:autoSpaceDE w:val="0"/>
              <w:autoSpaceDN w:val="0"/>
              <w:adjustRightInd w:val="0"/>
              <w:spacing w:after="120" w:line="276" w:lineRule="auto"/>
              <w:rPr>
                <w:rFonts w:cstheme="minorHAnsi"/>
                <w:color w:val="000000"/>
                <w:lang w:val="fr-CH"/>
              </w:rPr>
            </w:pPr>
            <w:proofErr w:type="gramStart"/>
            <w:r>
              <w:rPr>
                <w:rFonts w:ascii="Calibri" w:eastAsia="Calibri" w:hAnsi="Calibri" w:cs="Calibri"/>
                <w:b/>
                <w:bCs/>
                <w:color w:val="000000"/>
                <w:lang w:val="fr-FR"/>
              </w:rPr>
              <w:t>femme</w:t>
            </w:r>
            <w:proofErr w:type="gramEnd"/>
            <w:r>
              <w:rPr>
                <w:rFonts w:ascii="Calibri" w:eastAsia="Calibri" w:hAnsi="Calibri" w:cs="Calibri"/>
                <w:b/>
                <w:bCs/>
                <w:color w:val="000000"/>
                <w:lang w:val="fr-FR"/>
              </w:rPr>
              <w:t xml:space="preserve"> trans</w:t>
            </w:r>
            <w:r w:rsidR="00495F7B">
              <w:rPr>
                <w:rFonts w:ascii="Calibri" w:eastAsia="Calibri" w:hAnsi="Calibri" w:cs="Calibri"/>
                <w:b/>
                <w:bCs/>
                <w:color w:val="000000"/>
                <w:lang w:val="fr-FR"/>
              </w:rPr>
              <w:t xml:space="preserve"> ou personne trans</w:t>
            </w:r>
          </w:p>
        </w:tc>
        <w:tc>
          <w:tcPr>
            <w:tcW w:w="1667" w:type="pct"/>
          </w:tcPr>
          <w:p w14:paraId="078B9B10" w14:textId="77777777" w:rsidR="00FA2198"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trans</w:t>
            </w:r>
            <w:proofErr w:type="gramEnd"/>
          </w:p>
        </w:tc>
        <w:tc>
          <w:tcPr>
            <w:tcW w:w="1666" w:type="pct"/>
            <w:vMerge/>
          </w:tcPr>
          <w:p w14:paraId="11C877BA" w14:textId="77777777" w:rsidR="00FA2198" w:rsidRPr="00727EC8" w:rsidRDefault="00FA2198" w:rsidP="00040797">
            <w:pPr>
              <w:autoSpaceDE w:val="0"/>
              <w:autoSpaceDN w:val="0"/>
              <w:adjustRightInd w:val="0"/>
              <w:spacing w:after="120" w:line="276" w:lineRule="auto"/>
              <w:rPr>
                <w:rFonts w:cstheme="minorHAnsi"/>
                <w:color w:val="000000"/>
              </w:rPr>
            </w:pPr>
          </w:p>
        </w:tc>
      </w:tr>
      <w:tr w:rsidR="00896FB7" w:rsidRPr="00EE1EE3" w14:paraId="1FA50867" w14:textId="77777777" w:rsidTr="00040797">
        <w:tc>
          <w:tcPr>
            <w:tcW w:w="1667" w:type="pct"/>
            <w:shd w:val="clear" w:color="auto" w:fill="EDEDED"/>
          </w:tcPr>
          <w:p w14:paraId="40C5829A" w14:textId="71ADFD78" w:rsidR="00FA2198" w:rsidRPr="00727EC8" w:rsidRDefault="007350F8" w:rsidP="00040797">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affirmation</w:t>
            </w:r>
            <w:proofErr w:type="gramEnd"/>
            <w:r>
              <w:rPr>
                <w:rFonts w:ascii="Calibri" w:eastAsia="Calibri" w:hAnsi="Calibri" w:cs="Calibri"/>
                <w:b/>
                <w:bCs/>
                <w:color w:val="000000"/>
                <w:lang w:val="fr-FR"/>
              </w:rPr>
              <w:t xml:space="preserve"> du genre</w:t>
            </w:r>
          </w:p>
        </w:tc>
        <w:tc>
          <w:tcPr>
            <w:tcW w:w="1667" w:type="pct"/>
            <w:shd w:val="clear" w:color="auto" w:fill="EDEDED"/>
          </w:tcPr>
          <w:p w14:paraId="74301D11" w14:textId="77777777" w:rsidR="00FA2198" w:rsidRPr="00727EC8" w:rsidRDefault="007350F8" w:rsidP="00040797">
            <w:pPr>
              <w:autoSpaceDE w:val="0"/>
              <w:autoSpaceDN w:val="0"/>
              <w:adjustRightInd w:val="0"/>
              <w:spacing w:after="0" w:line="276" w:lineRule="auto"/>
              <w:rPr>
                <w:rFonts w:cstheme="minorHAnsi"/>
                <w:color w:val="000000"/>
              </w:rPr>
            </w:pPr>
            <w:proofErr w:type="spellStart"/>
            <w:proofErr w:type="gramStart"/>
            <w:r>
              <w:rPr>
                <w:rFonts w:ascii="Calibri" w:eastAsia="Calibri" w:hAnsi="Calibri" w:cs="Calibri"/>
                <w:color w:val="000000"/>
                <w:lang w:val="fr-FR"/>
              </w:rPr>
              <w:t>transsexualisation</w:t>
            </w:r>
            <w:proofErr w:type="spellEnd"/>
            <w:proofErr w:type="gramEnd"/>
          </w:p>
        </w:tc>
        <w:tc>
          <w:tcPr>
            <w:tcW w:w="1666" w:type="pct"/>
            <w:vMerge w:val="restart"/>
            <w:shd w:val="clear" w:color="auto" w:fill="EDEDED"/>
          </w:tcPr>
          <w:p w14:paraId="74D80E2F" w14:textId="0EC00897" w:rsidR="00FA2198" w:rsidRPr="00D15745" w:rsidRDefault="007350F8" w:rsidP="00EB2103">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Affirmation du genre » et « transition » définissent le processus interpersonnel et interactif par lequel une personne reçoit une reconnaissance sociale et un soutien pour son identité et l’expression de son genre. Ce processus peut mais n'implique pas nécessairement une intervention médicale, qui peut inclure une hormonothérapie et une ou plusieurs interventions chirurgicales pour l’affirmation de son genre. Le terme « pré/post-opératoire » peut toujours être utilisé dans la littérature médicale mais il ne doit pas être appliqué à une personne spécifique sans son consentement.</w:t>
            </w:r>
          </w:p>
        </w:tc>
      </w:tr>
      <w:tr w:rsidR="00896FB7" w14:paraId="459D0C5C" w14:textId="77777777" w:rsidTr="00040797">
        <w:tc>
          <w:tcPr>
            <w:tcW w:w="1667" w:type="pct"/>
            <w:shd w:val="clear" w:color="auto" w:fill="EDEDED"/>
          </w:tcPr>
          <w:p w14:paraId="19401D7B" w14:textId="4C1F5848" w:rsidR="00FA2198" w:rsidRPr="00727EC8" w:rsidRDefault="007350F8" w:rsidP="00040797">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confirmation</w:t>
            </w:r>
            <w:proofErr w:type="gramEnd"/>
            <w:r>
              <w:rPr>
                <w:rFonts w:ascii="Calibri" w:eastAsia="Calibri" w:hAnsi="Calibri" w:cs="Calibri"/>
                <w:b/>
                <w:bCs/>
                <w:color w:val="000000"/>
                <w:lang w:val="fr-FR"/>
              </w:rPr>
              <w:t xml:space="preserve"> du genre</w:t>
            </w:r>
          </w:p>
        </w:tc>
        <w:tc>
          <w:tcPr>
            <w:tcW w:w="1667" w:type="pct"/>
            <w:shd w:val="clear" w:color="auto" w:fill="EDEDED"/>
          </w:tcPr>
          <w:p w14:paraId="4BB7A4CA" w14:textId="77777777" w:rsidR="00FA2198" w:rsidRPr="00727EC8" w:rsidRDefault="007350F8" w:rsidP="00040797">
            <w:pPr>
              <w:autoSpaceDE w:val="0"/>
              <w:autoSpaceDN w:val="0"/>
              <w:adjustRightInd w:val="0"/>
              <w:spacing w:after="0" w:line="276" w:lineRule="auto"/>
              <w:rPr>
                <w:rFonts w:cstheme="minorHAnsi"/>
                <w:color w:val="000000"/>
              </w:rPr>
            </w:pPr>
            <w:proofErr w:type="gramStart"/>
            <w:r>
              <w:rPr>
                <w:rFonts w:ascii="Calibri" w:eastAsia="Calibri" w:hAnsi="Calibri" w:cs="Calibri"/>
                <w:color w:val="000000"/>
                <w:lang w:val="fr-FR"/>
              </w:rPr>
              <w:t>changement</w:t>
            </w:r>
            <w:proofErr w:type="gramEnd"/>
            <w:r>
              <w:rPr>
                <w:rFonts w:ascii="Calibri" w:eastAsia="Calibri" w:hAnsi="Calibri" w:cs="Calibri"/>
                <w:color w:val="000000"/>
                <w:lang w:val="fr-FR"/>
              </w:rPr>
              <w:t xml:space="preserve"> de sexe</w:t>
            </w:r>
          </w:p>
        </w:tc>
        <w:tc>
          <w:tcPr>
            <w:tcW w:w="1666" w:type="pct"/>
            <w:vMerge/>
            <w:shd w:val="clear" w:color="auto" w:fill="EDEDED"/>
          </w:tcPr>
          <w:p w14:paraId="5F39C08F" w14:textId="77777777" w:rsidR="00FA2198" w:rsidRPr="00727EC8" w:rsidRDefault="00FA2198" w:rsidP="00040797">
            <w:pPr>
              <w:autoSpaceDE w:val="0"/>
              <w:autoSpaceDN w:val="0"/>
              <w:adjustRightInd w:val="0"/>
              <w:spacing w:after="120" w:line="276" w:lineRule="auto"/>
              <w:rPr>
                <w:rFonts w:cstheme="minorHAnsi"/>
                <w:color w:val="000000"/>
              </w:rPr>
            </w:pPr>
          </w:p>
        </w:tc>
      </w:tr>
      <w:tr w:rsidR="00896FB7" w14:paraId="063D4233" w14:textId="77777777" w:rsidTr="00040797">
        <w:tc>
          <w:tcPr>
            <w:tcW w:w="1667" w:type="pct"/>
            <w:shd w:val="clear" w:color="auto" w:fill="EDEDED"/>
          </w:tcPr>
          <w:p w14:paraId="34EFFA2B" w14:textId="77777777" w:rsidR="00FA2198" w:rsidRPr="00727EC8" w:rsidRDefault="007350F8" w:rsidP="00040797">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transition</w:t>
            </w:r>
            <w:proofErr w:type="gramEnd"/>
          </w:p>
        </w:tc>
        <w:tc>
          <w:tcPr>
            <w:tcW w:w="1667" w:type="pct"/>
            <w:shd w:val="clear" w:color="auto" w:fill="EDEDED"/>
          </w:tcPr>
          <w:p w14:paraId="755D07CE" w14:textId="77777777" w:rsidR="00FA2198" w:rsidRPr="00727EC8" w:rsidRDefault="007350F8" w:rsidP="00040797">
            <w:pPr>
              <w:autoSpaceDE w:val="0"/>
              <w:autoSpaceDN w:val="0"/>
              <w:adjustRightInd w:val="0"/>
              <w:spacing w:after="0" w:line="276" w:lineRule="auto"/>
              <w:rPr>
                <w:rFonts w:cstheme="minorHAnsi"/>
                <w:color w:val="000000"/>
              </w:rPr>
            </w:pPr>
            <w:proofErr w:type="gramStart"/>
            <w:r>
              <w:rPr>
                <w:rFonts w:ascii="Calibri" w:eastAsia="Calibri" w:hAnsi="Calibri" w:cs="Calibri"/>
                <w:color w:val="000000"/>
                <w:lang w:val="fr-FR"/>
              </w:rPr>
              <w:t>chirurgie</w:t>
            </w:r>
            <w:proofErr w:type="gramEnd"/>
          </w:p>
        </w:tc>
        <w:tc>
          <w:tcPr>
            <w:tcW w:w="1666" w:type="pct"/>
            <w:vMerge/>
            <w:shd w:val="clear" w:color="auto" w:fill="EDEDED"/>
          </w:tcPr>
          <w:p w14:paraId="0D014EEB" w14:textId="77777777" w:rsidR="00FA2198" w:rsidRPr="00727EC8" w:rsidRDefault="00FA2198" w:rsidP="00040797">
            <w:pPr>
              <w:autoSpaceDE w:val="0"/>
              <w:autoSpaceDN w:val="0"/>
              <w:adjustRightInd w:val="0"/>
              <w:spacing w:after="120" w:line="276" w:lineRule="auto"/>
              <w:rPr>
                <w:rFonts w:cstheme="minorHAnsi"/>
                <w:color w:val="000000"/>
              </w:rPr>
            </w:pPr>
          </w:p>
        </w:tc>
      </w:tr>
      <w:tr w:rsidR="00896FB7" w14:paraId="345F935F" w14:textId="77777777" w:rsidTr="00040797">
        <w:tc>
          <w:tcPr>
            <w:tcW w:w="1667" w:type="pct"/>
            <w:shd w:val="clear" w:color="auto" w:fill="EDEDED"/>
          </w:tcPr>
          <w:p w14:paraId="7721542C" w14:textId="6685C547" w:rsidR="00FA2198"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transition</w:t>
            </w:r>
            <w:proofErr w:type="gramEnd"/>
          </w:p>
        </w:tc>
        <w:tc>
          <w:tcPr>
            <w:tcW w:w="1667" w:type="pct"/>
            <w:shd w:val="clear" w:color="auto" w:fill="EDEDED"/>
          </w:tcPr>
          <w:p w14:paraId="54A71E49" w14:textId="140947AE" w:rsidR="00FA2198"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préopératoire</w:t>
            </w:r>
            <w:proofErr w:type="gramEnd"/>
            <w:r>
              <w:rPr>
                <w:rFonts w:ascii="Calibri" w:eastAsia="Calibri" w:hAnsi="Calibri" w:cs="Calibri"/>
                <w:color w:val="000000"/>
                <w:lang w:val="fr-FR"/>
              </w:rPr>
              <w:t>/post-opératoire</w:t>
            </w:r>
          </w:p>
        </w:tc>
        <w:tc>
          <w:tcPr>
            <w:tcW w:w="1666" w:type="pct"/>
            <w:vMerge/>
            <w:shd w:val="clear" w:color="auto" w:fill="EDEDED"/>
          </w:tcPr>
          <w:p w14:paraId="2A41AB91" w14:textId="77777777" w:rsidR="00FA2198" w:rsidRPr="00727EC8" w:rsidRDefault="00FA2198" w:rsidP="00040797">
            <w:pPr>
              <w:autoSpaceDE w:val="0"/>
              <w:autoSpaceDN w:val="0"/>
              <w:adjustRightInd w:val="0"/>
              <w:spacing w:after="120" w:line="276" w:lineRule="auto"/>
              <w:rPr>
                <w:rFonts w:cstheme="minorHAnsi"/>
                <w:color w:val="000000"/>
              </w:rPr>
            </w:pPr>
          </w:p>
        </w:tc>
      </w:tr>
      <w:tr w:rsidR="00896FB7" w:rsidRPr="00EE1EE3" w14:paraId="3CD4CDE0" w14:textId="77777777" w:rsidTr="00040797">
        <w:tc>
          <w:tcPr>
            <w:tcW w:w="1667" w:type="pct"/>
          </w:tcPr>
          <w:p w14:paraId="51A5781B" w14:textId="2164BF48" w:rsidR="00AA4320" w:rsidRDefault="007350F8" w:rsidP="00040797">
            <w:pPr>
              <w:autoSpaceDE w:val="0"/>
              <w:autoSpaceDN w:val="0"/>
              <w:adjustRightInd w:val="0"/>
              <w:spacing w:after="0" w:line="276" w:lineRule="auto"/>
              <w:rPr>
                <w:rFonts w:ascii="Calibri" w:eastAsia="Calibri" w:hAnsi="Calibri" w:cs="Calibri"/>
                <w:b/>
                <w:bCs/>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ayant des</w:t>
            </w:r>
            <w:r w:rsidR="001707B7">
              <w:rPr>
                <w:rFonts w:ascii="Calibri" w:eastAsia="Calibri" w:hAnsi="Calibri" w:cs="Calibri"/>
                <w:b/>
                <w:bCs/>
                <w:color w:val="000000"/>
                <w:lang w:val="fr-FR"/>
              </w:rPr>
              <w:t xml:space="preserve"> variations</w:t>
            </w:r>
            <w:r>
              <w:rPr>
                <w:rFonts w:ascii="Calibri" w:eastAsia="Calibri" w:hAnsi="Calibri" w:cs="Calibri"/>
                <w:b/>
                <w:bCs/>
                <w:color w:val="000000"/>
                <w:lang w:val="fr-FR"/>
              </w:rPr>
              <w:t xml:space="preserve"> du développement sexuel (</w:t>
            </w:r>
            <w:r w:rsidR="001707B7">
              <w:rPr>
                <w:rFonts w:ascii="Calibri" w:eastAsia="Calibri" w:hAnsi="Calibri" w:cs="Calibri"/>
                <w:b/>
                <w:bCs/>
                <w:color w:val="000000"/>
                <w:lang w:val="fr-FR"/>
              </w:rPr>
              <w:t>VDS</w:t>
            </w:r>
            <w:r>
              <w:rPr>
                <w:rFonts w:ascii="Calibri" w:eastAsia="Calibri" w:hAnsi="Calibri" w:cs="Calibri"/>
                <w:b/>
                <w:bCs/>
                <w:color w:val="000000"/>
                <w:lang w:val="fr-FR"/>
              </w:rPr>
              <w:t>)</w:t>
            </w:r>
          </w:p>
          <w:p w14:paraId="53FD806B" w14:textId="323E237F" w:rsidR="00AA4320" w:rsidRPr="00EE7278" w:rsidRDefault="007350F8" w:rsidP="00040797">
            <w:pPr>
              <w:autoSpaceDE w:val="0"/>
              <w:autoSpaceDN w:val="0"/>
              <w:adjustRightInd w:val="0"/>
              <w:spacing w:after="0" w:line="276" w:lineRule="auto"/>
              <w:rPr>
                <w:rFonts w:cstheme="minorHAnsi"/>
                <w:color w:val="000000"/>
                <w:lang w:val="fr-CH"/>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intersex</w:t>
            </w:r>
            <w:r w:rsidR="00846EF9">
              <w:rPr>
                <w:rFonts w:ascii="Calibri" w:eastAsia="Calibri" w:hAnsi="Calibri" w:cs="Calibri"/>
                <w:b/>
                <w:bCs/>
                <w:color w:val="000000"/>
                <w:lang w:val="fr-FR"/>
              </w:rPr>
              <w:t>e</w:t>
            </w:r>
          </w:p>
          <w:p w14:paraId="3F347631" w14:textId="77777777" w:rsidR="00AA4320" w:rsidRPr="00EE7278" w:rsidRDefault="007350F8" w:rsidP="00040797">
            <w:pPr>
              <w:autoSpaceDE w:val="0"/>
              <w:autoSpaceDN w:val="0"/>
              <w:adjustRightInd w:val="0"/>
              <w:spacing w:after="120" w:line="276" w:lineRule="auto"/>
              <w:rPr>
                <w:rFonts w:cstheme="minorHAnsi"/>
                <w:color w:val="000000"/>
                <w:lang w:val="fr-CH"/>
              </w:rPr>
            </w:pPr>
            <w:proofErr w:type="gramStart"/>
            <w:r>
              <w:rPr>
                <w:rFonts w:ascii="Calibri" w:eastAsia="Calibri" w:hAnsi="Calibri" w:cs="Calibri"/>
                <w:b/>
                <w:bCs/>
                <w:color w:val="000000"/>
                <w:lang w:val="fr-FR"/>
              </w:rPr>
              <w:t>intersexué</w:t>
            </w:r>
            <w:proofErr w:type="gramEnd"/>
            <w:r>
              <w:rPr>
                <w:rFonts w:ascii="Calibri" w:eastAsia="Calibri" w:hAnsi="Calibri" w:cs="Calibri"/>
                <w:b/>
                <w:bCs/>
                <w:color w:val="000000"/>
                <w:lang w:val="fr-FR"/>
              </w:rPr>
              <w:t>(e)</w:t>
            </w:r>
          </w:p>
        </w:tc>
        <w:tc>
          <w:tcPr>
            <w:tcW w:w="1667" w:type="pct"/>
          </w:tcPr>
          <w:p w14:paraId="5AA7102A"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hermaphrodite</w:t>
            </w:r>
            <w:proofErr w:type="gramEnd"/>
          </w:p>
        </w:tc>
        <w:tc>
          <w:tcPr>
            <w:tcW w:w="1666" w:type="pct"/>
          </w:tcPr>
          <w:p w14:paraId="5623F758" w14:textId="1F189427" w:rsidR="00AA4320" w:rsidRPr="00D15745" w:rsidRDefault="007350F8" w:rsidP="00EB2103">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terme</w:t>
            </w:r>
            <w:proofErr w:type="gramStart"/>
            <w:r>
              <w:rPr>
                <w:rFonts w:ascii="Calibri" w:eastAsia="Calibri" w:hAnsi="Calibri" w:cs="Calibri"/>
                <w:color w:val="000000"/>
                <w:lang w:val="fr-FR"/>
              </w:rPr>
              <w:t xml:space="preserve"> «</w:t>
            </w:r>
            <w:r w:rsidR="001707B7">
              <w:rPr>
                <w:rFonts w:ascii="Calibri" w:eastAsia="Calibri" w:hAnsi="Calibri" w:cs="Calibri"/>
                <w:color w:val="000000"/>
                <w:lang w:val="fr-FR"/>
              </w:rPr>
              <w:t>variations</w:t>
            </w:r>
            <w:proofErr w:type="gramEnd"/>
            <w:r w:rsidR="001707B7">
              <w:rPr>
                <w:rFonts w:ascii="Calibri" w:eastAsia="Calibri" w:hAnsi="Calibri" w:cs="Calibri"/>
                <w:color w:val="000000"/>
                <w:lang w:val="fr-FR"/>
              </w:rPr>
              <w:t xml:space="preserve"> d</w:t>
            </w:r>
            <w:r>
              <w:rPr>
                <w:rFonts w:ascii="Calibri" w:eastAsia="Calibri" w:hAnsi="Calibri" w:cs="Calibri"/>
                <w:color w:val="000000"/>
                <w:lang w:val="fr-FR"/>
              </w:rPr>
              <w:t xml:space="preserve">u développement sexuel » est un terme général qui fait référence aux variations congénitales atypiques dans le développement du sexe chromosomique, gonadique ou anatomique. De nombreuses personnes ayant des </w:t>
            </w:r>
            <w:r w:rsidR="001707B7">
              <w:rPr>
                <w:rFonts w:ascii="Calibri" w:eastAsia="Calibri" w:hAnsi="Calibri" w:cs="Calibri"/>
                <w:color w:val="000000"/>
                <w:lang w:val="fr-FR"/>
              </w:rPr>
              <w:t>V</w:t>
            </w:r>
            <w:r>
              <w:rPr>
                <w:rFonts w:ascii="Calibri" w:eastAsia="Calibri" w:hAnsi="Calibri" w:cs="Calibri"/>
                <w:color w:val="000000"/>
                <w:lang w:val="fr-FR"/>
              </w:rPr>
              <w:t xml:space="preserve">DS s'identifient comme </w:t>
            </w:r>
            <w:r>
              <w:rPr>
                <w:rFonts w:ascii="Calibri" w:eastAsia="Calibri" w:hAnsi="Calibri" w:cs="Calibri"/>
                <w:color w:val="000000"/>
                <w:lang w:val="fr-FR"/>
              </w:rPr>
              <w:lastRenderedPageBreak/>
              <w:t xml:space="preserve">intersexuées, mais pas toutes. Lorsque vous utilisez le terme </w:t>
            </w:r>
            <w:proofErr w:type="spellStart"/>
            <w:r>
              <w:rPr>
                <w:rFonts w:ascii="Calibri" w:eastAsia="Calibri" w:hAnsi="Calibri" w:cs="Calibri"/>
                <w:color w:val="000000"/>
                <w:lang w:val="fr-FR"/>
              </w:rPr>
              <w:t>intersex</w:t>
            </w:r>
            <w:r w:rsidR="00846EF9">
              <w:rPr>
                <w:rFonts w:ascii="Calibri" w:eastAsia="Calibri" w:hAnsi="Calibri" w:cs="Calibri"/>
                <w:color w:val="000000"/>
                <w:lang w:val="fr-FR"/>
              </w:rPr>
              <w:t>e</w:t>
            </w:r>
            <w:r w:rsidR="00D62D81">
              <w:rPr>
                <w:rFonts w:ascii="Calibri" w:eastAsia="Calibri" w:hAnsi="Calibri" w:cs="Calibri"/>
                <w:color w:val="000000"/>
                <w:lang w:val="fr-FR"/>
              </w:rPr>
              <w:t>e</w:t>
            </w:r>
            <w:proofErr w:type="spellEnd"/>
            <w:r>
              <w:rPr>
                <w:rFonts w:ascii="Calibri" w:eastAsia="Calibri" w:hAnsi="Calibri" w:cs="Calibri"/>
                <w:color w:val="000000"/>
                <w:lang w:val="fr-FR"/>
              </w:rPr>
              <w:t xml:space="preserve">, utilisez et définissez également les </w:t>
            </w:r>
            <w:r w:rsidR="001707B7">
              <w:rPr>
                <w:rFonts w:ascii="Calibri" w:eastAsia="Calibri" w:hAnsi="Calibri" w:cs="Calibri"/>
                <w:color w:val="000000"/>
                <w:lang w:val="fr-FR"/>
              </w:rPr>
              <w:t>VDS</w:t>
            </w:r>
            <w:r>
              <w:rPr>
                <w:rFonts w:ascii="Calibri" w:eastAsia="Calibri" w:hAnsi="Calibri" w:cs="Calibri"/>
                <w:color w:val="000000"/>
                <w:lang w:val="fr-FR"/>
              </w:rPr>
              <w:t xml:space="preserve">. La compréhension classique du terme « hermaphrodite » se limite généralement aux individus présentant </w:t>
            </w:r>
            <w:r w:rsidR="00940F3C">
              <w:rPr>
                <w:rFonts w:ascii="Calibri" w:eastAsia="Calibri" w:hAnsi="Calibri" w:cs="Calibri"/>
                <w:color w:val="000000"/>
                <w:lang w:val="fr-FR"/>
              </w:rPr>
              <w:t xml:space="preserve">conjointement </w:t>
            </w:r>
            <w:r>
              <w:rPr>
                <w:rFonts w:ascii="Calibri" w:eastAsia="Calibri" w:hAnsi="Calibri" w:cs="Calibri"/>
                <w:color w:val="000000"/>
                <w:lang w:val="fr-FR"/>
              </w:rPr>
              <w:t>des caractéristiques anatomiques traditionnellement masculines et féminines, en particulier les organes génitaux. Ce terme est également considéré comme offensant en raison de son origine mythique et de son utilisation historiquement désobligeante.</w:t>
            </w:r>
          </w:p>
        </w:tc>
      </w:tr>
      <w:tr w:rsidR="00896FB7" w:rsidRPr="00EE1EE3" w14:paraId="709E1057" w14:textId="77777777" w:rsidTr="00040797">
        <w:tc>
          <w:tcPr>
            <w:tcW w:w="1667" w:type="pct"/>
            <w:shd w:val="clear" w:color="auto" w:fill="EDEDED"/>
          </w:tcPr>
          <w:p w14:paraId="4AEADB39"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lastRenderedPageBreak/>
              <w:t>personnes</w:t>
            </w:r>
            <w:proofErr w:type="gramEnd"/>
            <w:r>
              <w:rPr>
                <w:rFonts w:ascii="Calibri" w:eastAsia="Calibri" w:hAnsi="Calibri" w:cs="Calibri"/>
                <w:b/>
                <w:bCs/>
                <w:color w:val="000000"/>
                <w:lang w:val="fr-FR"/>
              </w:rPr>
              <w:t xml:space="preserve"> en âge de procréer</w:t>
            </w:r>
          </w:p>
        </w:tc>
        <w:tc>
          <w:tcPr>
            <w:tcW w:w="1667" w:type="pct"/>
            <w:shd w:val="clear" w:color="auto" w:fill="EDEDED"/>
          </w:tcPr>
          <w:p w14:paraId="2EE8F32C"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femmes</w:t>
            </w:r>
            <w:proofErr w:type="gramEnd"/>
            <w:r>
              <w:rPr>
                <w:rFonts w:ascii="Calibri" w:eastAsia="Calibri" w:hAnsi="Calibri" w:cs="Calibri"/>
                <w:color w:val="000000"/>
                <w:lang w:val="fr-FR"/>
              </w:rPr>
              <w:t xml:space="preserve"> en âge de procréer</w:t>
            </w:r>
          </w:p>
        </w:tc>
        <w:tc>
          <w:tcPr>
            <w:tcW w:w="1666" w:type="pct"/>
            <w:shd w:val="clear" w:color="auto" w:fill="EDEDED"/>
          </w:tcPr>
          <w:p w14:paraId="39C5B42E"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Les personnes de tout </w:t>
            </w:r>
            <w:proofErr w:type="gramStart"/>
            <w:r>
              <w:rPr>
                <w:rFonts w:ascii="Calibri" w:eastAsia="Calibri" w:hAnsi="Calibri" w:cs="Calibri"/>
                <w:color w:val="000000"/>
                <w:lang w:val="fr-FR"/>
              </w:rPr>
              <w:t>sexe</w:t>
            </w:r>
            <w:proofErr w:type="gramEnd"/>
            <w:r>
              <w:rPr>
                <w:rFonts w:ascii="Calibri" w:eastAsia="Calibri" w:hAnsi="Calibri" w:cs="Calibri"/>
                <w:color w:val="000000"/>
                <w:lang w:val="fr-FR"/>
              </w:rPr>
              <w:t xml:space="preserve"> et genre ont la capacité d’avoir des enfants.</w:t>
            </w:r>
          </w:p>
        </w:tc>
      </w:tr>
      <w:tr w:rsidR="00896FB7" w:rsidRPr="00EE1EE3" w14:paraId="251219E9" w14:textId="77777777" w:rsidTr="00040797">
        <w:tc>
          <w:tcPr>
            <w:tcW w:w="1667" w:type="pct"/>
          </w:tcPr>
          <w:p w14:paraId="7AE5CC51" w14:textId="2EE5E9AA" w:rsidR="00AA4320" w:rsidRPr="00EE7278" w:rsidRDefault="007350F8" w:rsidP="00040797">
            <w:pPr>
              <w:autoSpaceDE w:val="0"/>
              <w:autoSpaceDN w:val="0"/>
              <w:adjustRightInd w:val="0"/>
              <w:spacing w:after="120" w:line="276" w:lineRule="auto"/>
              <w:rPr>
                <w:rFonts w:cstheme="minorHAnsi"/>
                <w:color w:val="000000"/>
                <w:lang w:val="fr-CH"/>
              </w:rPr>
            </w:pPr>
            <w:proofErr w:type="gramStart"/>
            <w:r>
              <w:rPr>
                <w:rFonts w:ascii="Calibri" w:eastAsia="Calibri" w:hAnsi="Calibri" w:cs="Calibri"/>
                <w:b/>
                <w:bCs/>
                <w:color w:val="000000"/>
                <w:lang w:val="fr-FR"/>
              </w:rPr>
              <w:t>personnes</w:t>
            </w:r>
            <w:proofErr w:type="gramEnd"/>
            <w:r>
              <w:rPr>
                <w:rFonts w:ascii="Calibri" w:eastAsia="Calibri" w:hAnsi="Calibri" w:cs="Calibri"/>
                <w:b/>
                <w:bCs/>
                <w:color w:val="000000"/>
                <w:lang w:val="fr-FR"/>
              </w:rPr>
              <w:t xml:space="preserve"> </w:t>
            </w:r>
            <w:r w:rsidR="009147CC">
              <w:rPr>
                <w:rFonts w:ascii="Calibri" w:eastAsia="Calibri" w:hAnsi="Calibri" w:cs="Calibri"/>
                <w:b/>
                <w:bCs/>
                <w:color w:val="000000"/>
                <w:lang w:val="fr-FR"/>
              </w:rPr>
              <w:t>en capacité de</w:t>
            </w:r>
            <w:r>
              <w:rPr>
                <w:rFonts w:ascii="Calibri" w:eastAsia="Calibri" w:hAnsi="Calibri" w:cs="Calibri"/>
                <w:b/>
                <w:bCs/>
                <w:color w:val="000000"/>
                <w:lang w:val="fr-FR"/>
              </w:rPr>
              <w:t xml:space="preserve"> procréer</w:t>
            </w:r>
          </w:p>
        </w:tc>
        <w:tc>
          <w:tcPr>
            <w:tcW w:w="1667" w:type="pct"/>
          </w:tcPr>
          <w:p w14:paraId="5CDC4339" w14:textId="77777777" w:rsidR="00AA4320" w:rsidRPr="00727EC8" w:rsidRDefault="007350F8" w:rsidP="00040797">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hommes</w:t>
            </w:r>
            <w:proofErr w:type="gramEnd"/>
            <w:r>
              <w:rPr>
                <w:rFonts w:ascii="Calibri" w:eastAsia="Calibri" w:hAnsi="Calibri" w:cs="Calibri"/>
                <w:color w:val="000000"/>
                <w:lang w:val="fr-FR"/>
              </w:rPr>
              <w:t xml:space="preserve"> aptes à procréer</w:t>
            </w:r>
          </w:p>
        </w:tc>
        <w:tc>
          <w:tcPr>
            <w:tcW w:w="1666" w:type="pct"/>
          </w:tcPr>
          <w:p w14:paraId="090BCF08" w14:textId="4541E8B6"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Les personnes de tout sexe peuvent être </w:t>
            </w:r>
            <w:r w:rsidR="00846EF9">
              <w:rPr>
                <w:rFonts w:ascii="Calibri" w:eastAsia="Calibri" w:hAnsi="Calibri" w:cs="Calibri"/>
                <w:b/>
                <w:bCs/>
                <w:color w:val="000000"/>
                <w:lang w:val="fr-FR"/>
              </w:rPr>
              <w:t xml:space="preserve">en capacité de </w:t>
            </w:r>
            <w:r>
              <w:rPr>
                <w:rFonts w:ascii="Calibri" w:eastAsia="Calibri" w:hAnsi="Calibri" w:cs="Calibri"/>
                <w:color w:val="000000"/>
                <w:lang w:val="fr-FR"/>
              </w:rPr>
              <w:t>procréer.</w:t>
            </w:r>
          </w:p>
        </w:tc>
      </w:tr>
      <w:tr w:rsidR="00896FB7" w:rsidRPr="00EE1EE3" w14:paraId="6AAF3AE8" w14:textId="77777777" w:rsidTr="00040797">
        <w:tc>
          <w:tcPr>
            <w:tcW w:w="1667" w:type="pct"/>
            <w:shd w:val="clear" w:color="auto" w:fill="EDEDED"/>
          </w:tcPr>
          <w:p w14:paraId="4278B55E"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personnes</w:t>
            </w:r>
            <w:proofErr w:type="gramEnd"/>
          </w:p>
          <w:p w14:paraId="2BD2BA0E" w14:textId="77777777" w:rsidR="00AA4320" w:rsidRPr="00D15745" w:rsidRDefault="007350F8" w:rsidP="00040797">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personnes</w:t>
            </w:r>
            <w:proofErr w:type="gramEnd"/>
            <w:r>
              <w:rPr>
                <w:rFonts w:ascii="Calibri" w:eastAsia="Calibri" w:hAnsi="Calibri" w:cs="Calibri"/>
                <w:b/>
                <w:bCs/>
                <w:color w:val="000000"/>
                <w:lang w:val="fr-FR"/>
              </w:rPr>
              <w:t xml:space="preserve"> de tous genres</w:t>
            </w:r>
          </w:p>
          <w:p w14:paraId="44DD1A55" w14:textId="77777777" w:rsidR="00940F3C" w:rsidRDefault="007350F8" w:rsidP="00040797">
            <w:pPr>
              <w:autoSpaceDE w:val="0"/>
              <w:autoSpaceDN w:val="0"/>
              <w:adjustRightInd w:val="0"/>
              <w:spacing w:after="120" w:line="276" w:lineRule="auto"/>
              <w:rPr>
                <w:rFonts w:ascii="Calibri" w:eastAsia="Calibri" w:hAnsi="Calibri" w:cs="Calibri"/>
                <w:color w:val="000000"/>
                <w:lang w:val="fr-FR"/>
              </w:rPr>
            </w:pPr>
            <w:proofErr w:type="gramStart"/>
            <w:r>
              <w:rPr>
                <w:rFonts w:ascii="Calibri" w:eastAsia="Calibri" w:hAnsi="Calibri" w:cs="Calibri"/>
                <w:color w:val="000000"/>
                <w:lang w:val="fr-FR"/>
              </w:rPr>
              <w:t>ou</w:t>
            </w:r>
            <w:proofErr w:type="gramEnd"/>
            <w:r>
              <w:rPr>
                <w:rFonts w:ascii="Calibri" w:eastAsia="Calibri" w:hAnsi="Calibri" w:cs="Calibri"/>
                <w:color w:val="000000"/>
                <w:lang w:val="fr-FR"/>
              </w:rPr>
              <w:t xml:space="preserve"> soyez précis</w:t>
            </w:r>
          </w:p>
          <w:p w14:paraId="119DB5DA" w14:textId="63F80B0A" w:rsidR="00940F3C" w:rsidRDefault="007350F8" w:rsidP="00040797">
            <w:pPr>
              <w:autoSpaceDE w:val="0"/>
              <w:autoSpaceDN w:val="0"/>
              <w:adjustRightInd w:val="0"/>
              <w:spacing w:after="120" w:line="276" w:lineRule="auto"/>
              <w:rPr>
                <w:rFonts w:ascii="Calibri" w:eastAsia="Calibri" w:hAnsi="Calibri" w:cs="Calibri"/>
                <w:b/>
                <w:bCs/>
                <w:color w:val="000000"/>
                <w:lang w:val="fr-FR"/>
              </w:rPr>
            </w:pPr>
            <w:r>
              <w:rPr>
                <w:rFonts w:ascii="Calibri" w:eastAsia="Calibri" w:hAnsi="Calibri" w:cs="Calibri"/>
                <w:color w:val="000000"/>
                <w:lang w:val="fr-FR"/>
              </w:rPr>
              <w:t xml:space="preserve"> -</w:t>
            </w:r>
            <w:r w:rsidR="00940F3C">
              <w:rPr>
                <w:rFonts w:ascii="Calibri" w:eastAsia="Calibri" w:hAnsi="Calibri" w:cs="Calibri"/>
                <w:color w:val="000000"/>
                <w:lang w:val="fr-FR"/>
              </w:rPr>
              <w:t xml:space="preserve"> </w:t>
            </w:r>
            <w:r>
              <w:rPr>
                <w:rFonts w:ascii="Calibri" w:eastAsia="Calibri" w:hAnsi="Calibri" w:cs="Calibri"/>
                <w:b/>
                <w:bCs/>
                <w:color w:val="000000"/>
                <w:lang w:val="fr-FR"/>
              </w:rPr>
              <w:t xml:space="preserve">hommes </w:t>
            </w:r>
            <w:r w:rsidR="00940F3C">
              <w:rPr>
                <w:rFonts w:ascii="Calibri" w:eastAsia="Calibri" w:hAnsi="Calibri" w:cs="Calibri"/>
                <w:b/>
                <w:bCs/>
                <w:color w:val="000000"/>
                <w:lang w:val="fr-FR"/>
              </w:rPr>
              <w:t>(</w:t>
            </w:r>
            <w:r>
              <w:rPr>
                <w:rFonts w:ascii="Calibri" w:eastAsia="Calibri" w:hAnsi="Calibri" w:cs="Calibri"/>
                <w:b/>
                <w:bCs/>
                <w:color w:val="000000"/>
                <w:lang w:val="fr-FR"/>
              </w:rPr>
              <w:t>cisgenres et</w:t>
            </w:r>
            <w:r w:rsidR="00940F3C">
              <w:rPr>
                <w:rFonts w:ascii="Calibri" w:eastAsia="Calibri" w:hAnsi="Calibri" w:cs="Calibri"/>
                <w:b/>
                <w:bCs/>
                <w:color w:val="000000"/>
                <w:lang w:val="fr-FR"/>
              </w:rPr>
              <w:t>/ou transgenres)</w:t>
            </w:r>
          </w:p>
          <w:p w14:paraId="4E387BEF" w14:textId="0C8972AD" w:rsidR="00AA4320" w:rsidRPr="00EE7278" w:rsidRDefault="00940F3C" w:rsidP="00040797">
            <w:pPr>
              <w:autoSpaceDE w:val="0"/>
              <w:autoSpaceDN w:val="0"/>
              <w:adjustRightInd w:val="0"/>
              <w:spacing w:after="120" w:line="276" w:lineRule="auto"/>
              <w:rPr>
                <w:rFonts w:ascii="Calibri" w:eastAsia="Calibri" w:hAnsi="Calibri" w:cs="Calibri"/>
                <w:b/>
                <w:bCs/>
                <w:color w:val="000000"/>
                <w:lang w:val="fr-FR"/>
              </w:rPr>
            </w:pPr>
            <w:r>
              <w:rPr>
                <w:rFonts w:ascii="Calibri" w:eastAsia="Calibri" w:hAnsi="Calibri" w:cs="Calibri"/>
                <w:b/>
                <w:bCs/>
                <w:color w:val="000000"/>
                <w:lang w:val="fr-FR"/>
              </w:rPr>
              <w:t xml:space="preserve">- </w:t>
            </w:r>
            <w:r w:rsidR="007350F8">
              <w:rPr>
                <w:rFonts w:ascii="Calibri" w:eastAsia="Calibri" w:hAnsi="Calibri" w:cs="Calibri"/>
                <w:b/>
                <w:bCs/>
                <w:color w:val="000000"/>
                <w:lang w:val="fr-FR"/>
              </w:rPr>
              <w:t xml:space="preserve">femmes </w:t>
            </w:r>
            <w:r>
              <w:rPr>
                <w:rFonts w:ascii="Calibri" w:eastAsia="Calibri" w:hAnsi="Calibri" w:cs="Calibri"/>
                <w:b/>
                <w:bCs/>
                <w:color w:val="000000"/>
                <w:lang w:val="fr-FR"/>
              </w:rPr>
              <w:t>(</w:t>
            </w:r>
            <w:r w:rsidR="007350F8">
              <w:rPr>
                <w:rFonts w:ascii="Calibri" w:eastAsia="Calibri" w:hAnsi="Calibri" w:cs="Calibri"/>
                <w:b/>
                <w:bCs/>
                <w:color w:val="000000"/>
                <w:lang w:val="fr-FR"/>
              </w:rPr>
              <w:t>cisgenres</w:t>
            </w:r>
            <w:r>
              <w:rPr>
                <w:rFonts w:ascii="Calibri" w:eastAsia="Calibri" w:hAnsi="Calibri" w:cs="Calibri"/>
                <w:b/>
                <w:bCs/>
                <w:color w:val="000000"/>
                <w:lang w:val="fr-FR"/>
              </w:rPr>
              <w:t xml:space="preserve"> et/ou transgenres)</w:t>
            </w:r>
          </w:p>
        </w:tc>
        <w:tc>
          <w:tcPr>
            <w:tcW w:w="1667" w:type="pct"/>
            <w:shd w:val="clear" w:color="auto" w:fill="EDEDED"/>
          </w:tcPr>
          <w:p w14:paraId="67F75949"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hommes</w:t>
            </w:r>
            <w:proofErr w:type="gramEnd"/>
            <w:r>
              <w:rPr>
                <w:rFonts w:ascii="Calibri" w:eastAsia="Calibri" w:hAnsi="Calibri" w:cs="Calibri"/>
                <w:color w:val="000000"/>
                <w:lang w:val="fr-FR"/>
              </w:rPr>
              <w:t xml:space="preserve"> et femmes</w:t>
            </w:r>
          </w:p>
          <w:p w14:paraId="17294114" w14:textId="77777777" w:rsidR="00AA4320" w:rsidRPr="00D15745" w:rsidRDefault="007350F8" w:rsidP="00040797">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les</w:t>
            </w:r>
            <w:proofErr w:type="gramEnd"/>
            <w:r>
              <w:rPr>
                <w:rFonts w:ascii="Calibri" w:eastAsia="Calibri" w:hAnsi="Calibri" w:cs="Calibri"/>
                <w:color w:val="000000"/>
                <w:lang w:val="fr-FR"/>
              </w:rPr>
              <w:t xml:space="preserve"> deux ou l’un ou l’autre sexe</w:t>
            </w:r>
          </w:p>
        </w:tc>
        <w:tc>
          <w:tcPr>
            <w:tcW w:w="1666" w:type="pct"/>
            <w:shd w:val="clear" w:color="auto" w:fill="EDEDED"/>
          </w:tcPr>
          <w:p w14:paraId="24B263E6" w14:textId="77777777" w:rsidR="00AA4320" w:rsidRPr="00D15745" w:rsidRDefault="007350F8" w:rsidP="00040797">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L'utilisation du terme « Hommes et femmes » pour « Tout le monde » exclut les personnes transgenres, les personnes non binaires et les autres minorités sexuelles et de genre.</w:t>
            </w:r>
          </w:p>
        </w:tc>
      </w:tr>
    </w:tbl>
    <w:p w14:paraId="5F73B3A4" w14:textId="77777777" w:rsidR="00AA4320" w:rsidRPr="00D15745" w:rsidRDefault="00AA4320" w:rsidP="00417223">
      <w:pPr>
        <w:spacing w:after="0" w:line="276" w:lineRule="auto"/>
        <w:rPr>
          <w:rFonts w:cstheme="minorHAnsi"/>
          <w:lang w:val="fr-FR"/>
        </w:rPr>
      </w:pPr>
    </w:p>
    <w:p w14:paraId="74BF80DA" w14:textId="77777777" w:rsidR="00772F17" w:rsidRPr="00D15745" w:rsidRDefault="007350F8" w:rsidP="00417223">
      <w:pPr>
        <w:spacing w:after="0" w:line="276" w:lineRule="auto"/>
        <w:jc w:val="center"/>
        <w:rPr>
          <w:rFonts w:cstheme="minorHAnsi"/>
          <w:lang w:val="fr-FR"/>
        </w:rPr>
      </w:pPr>
      <w:r>
        <w:rPr>
          <w:rFonts w:ascii="Calibri" w:eastAsia="Calibri" w:hAnsi="Calibri" w:cs="Calibri"/>
          <w:b/>
          <w:bCs/>
          <w:color w:val="2E74B5"/>
          <w:sz w:val="28"/>
          <w:szCs w:val="28"/>
          <w:lang w:val="fr-FR"/>
        </w:rPr>
        <w:t>Autres termes relatifs au sexe, au genre et à la sexualité</w:t>
      </w:r>
    </w:p>
    <w:tbl>
      <w:tblPr>
        <w:tblW w:w="5048" w:type="pct"/>
        <w:tblBorders>
          <w:top w:val="nil"/>
          <w:left w:val="nil"/>
          <w:bottom w:val="nil"/>
          <w:right w:val="nil"/>
        </w:tblBorders>
        <w:tblLook w:val="0000" w:firstRow="0" w:lastRow="0" w:firstColumn="0" w:lastColumn="0" w:noHBand="0" w:noVBand="0"/>
      </w:tblPr>
      <w:tblGrid>
        <w:gridCol w:w="4680"/>
        <w:gridCol w:w="4770"/>
      </w:tblGrid>
      <w:tr w:rsidR="00896FB7" w:rsidRPr="00EE1EE3" w14:paraId="4C8B1B6C" w14:textId="77777777" w:rsidTr="00EE7278">
        <w:trPr>
          <w:cantSplit/>
        </w:trPr>
        <w:tc>
          <w:tcPr>
            <w:tcW w:w="2476" w:type="pct"/>
          </w:tcPr>
          <w:p w14:paraId="71BF2912" w14:textId="77777777" w:rsidR="00AA4320" w:rsidRPr="00727EC8" w:rsidRDefault="007350F8" w:rsidP="00417223">
            <w:pPr>
              <w:pStyle w:val="Default"/>
              <w:spacing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sexe</w:t>
            </w:r>
            <w:proofErr w:type="gramEnd"/>
          </w:p>
        </w:tc>
        <w:tc>
          <w:tcPr>
            <w:tcW w:w="2524" w:type="pct"/>
          </w:tcPr>
          <w:p w14:paraId="4D979DBC" w14:textId="4A4E0E7C" w:rsidR="00AA4320" w:rsidRPr="00D15745" w:rsidRDefault="007350F8" w:rsidP="00417223">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catégorie</w:t>
            </w:r>
            <w:proofErr w:type="gramEnd"/>
            <w:r>
              <w:rPr>
                <w:rFonts w:ascii="Calibri" w:eastAsia="Calibri" w:hAnsi="Calibri" w:cs="Calibri"/>
                <w:sz w:val="22"/>
                <w:szCs w:val="22"/>
                <w:lang w:val="fr-FR"/>
              </w:rPr>
              <w:t xml:space="preserve"> biologique basée sur les caractéristiques reproductives, anatomiques</w:t>
            </w:r>
            <w:r w:rsidR="00940F3C">
              <w:rPr>
                <w:rFonts w:ascii="Calibri" w:eastAsia="Calibri" w:hAnsi="Calibri" w:cs="Calibri"/>
                <w:sz w:val="22"/>
                <w:szCs w:val="22"/>
                <w:lang w:val="fr-FR"/>
              </w:rPr>
              <w:t>, hormonales</w:t>
            </w:r>
            <w:r>
              <w:rPr>
                <w:rFonts w:ascii="Calibri" w:eastAsia="Calibri" w:hAnsi="Calibri" w:cs="Calibri"/>
                <w:sz w:val="22"/>
                <w:szCs w:val="22"/>
                <w:lang w:val="fr-FR"/>
              </w:rPr>
              <w:t xml:space="preserve"> et génétiques, généralement définie comme étant masculin, féminin </w:t>
            </w:r>
            <w:r w:rsidR="003A4737">
              <w:rPr>
                <w:rFonts w:ascii="Calibri" w:eastAsia="Calibri" w:hAnsi="Calibri" w:cs="Calibri"/>
                <w:sz w:val="22"/>
                <w:szCs w:val="22"/>
                <w:lang w:val="fr-FR"/>
              </w:rPr>
              <w:t>ou</w:t>
            </w:r>
            <w:r>
              <w:rPr>
                <w:rFonts w:ascii="Calibri" w:eastAsia="Calibri" w:hAnsi="Calibri" w:cs="Calibri"/>
                <w:sz w:val="22"/>
                <w:szCs w:val="22"/>
                <w:lang w:val="fr-FR"/>
              </w:rPr>
              <w:t xml:space="preserve"> intersex</w:t>
            </w:r>
            <w:r w:rsidR="003A4737">
              <w:rPr>
                <w:rFonts w:ascii="Calibri" w:eastAsia="Calibri" w:hAnsi="Calibri" w:cs="Calibri"/>
                <w:sz w:val="22"/>
                <w:szCs w:val="22"/>
                <w:lang w:val="fr-FR"/>
              </w:rPr>
              <w:t>e</w:t>
            </w:r>
          </w:p>
        </w:tc>
      </w:tr>
      <w:tr w:rsidR="00896FB7" w:rsidRPr="00EE1EE3" w14:paraId="3374408A" w14:textId="77777777" w:rsidTr="00EE7278">
        <w:trPr>
          <w:cantSplit/>
        </w:trPr>
        <w:tc>
          <w:tcPr>
            <w:tcW w:w="2476" w:type="pct"/>
            <w:shd w:val="clear" w:color="auto" w:fill="EDEDED"/>
          </w:tcPr>
          <w:p w14:paraId="0FA7EE2E" w14:textId="77777777" w:rsidR="00AA4320" w:rsidRPr="00727EC8" w:rsidRDefault="007350F8" w:rsidP="00417223">
            <w:pPr>
              <w:pStyle w:val="Default"/>
              <w:spacing w:line="276" w:lineRule="auto"/>
              <w:rPr>
                <w:rFonts w:asciiTheme="minorHAnsi" w:hAnsiTheme="minorHAnsi" w:cstheme="minorHAnsi"/>
                <w:b/>
                <w:sz w:val="22"/>
                <w:szCs w:val="22"/>
              </w:rPr>
            </w:pPr>
            <w:proofErr w:type="gramStart"/>
            <w:r>
              <w:rPr>
                <w:rFonts w:ascii="Calibri" w:eastAsia="Calibri" w:hAnsi="Calibri" w:cs="Calibri"/>
                <w:b/>
                <w:bCs/>
                <w:sz w:val="22"/>
                <w:szCs w:val="22"/>
                <w:lang w:val="fr-FR"/>
              </w:rPr>
              <w:lastRenderedPageBreak/>
              <w:t>genre</w:t>
            </w:r>
            <w:proofErr w:type="gramEnd"/>
          </w:p>
        </w:tc>
        <w:tc>
          <w:tcPr>
            <w:tcW w:w="2524" w:type="pct"/>
            <w:shd w:val="clear" w:color="auto" w:fill="EDEDED"/>
          </w:tcPr>
          <w:p w14:paraId="38691C6D"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ensemble</w:t>
            </w:r>
            <w:proofErr w:type="gramEnd"/>
            <w:r>
              <w:rPr>
                <w:rFonts w:ascii="Calibri" w:eastAsia="Calibri" w:hAnsi="Calibri" w:cs="Calibri"/>
                <w:sz w:val="22"/>
                <w:szCs w:val="22"/>
                <w:lang w:val="fr-FR"/>
              </w:rPr>
              <w:t xml:space="preserve"> de rôles, comportements, activités et/ou attributs socialement construits qu'une société donnée considère comme appropriés pour les membres d'un sexe donné</w:t>
            </w:r>
          </w:p>
        </w:tc>
      </w:tr>
      <w:tr w:rsidR="00896FB7" w:rsidRPr="00EE1EE3" w14:paraId="4D8EFFAA" w14:textId="77777777" w:rsidTr="00EE7278">
        <w:trPr>
          <w:cantSplit/>
        </w:trPr>
        <w:tc>
          <w:tcPr>
            <w:tcW w:w="2476" w:type="pct"/>
          </w:tcPr>
          <w:p w14:paraId="0DDCB7CA" w14:textId="77777777" w:rsidR="00AA4320" w:rsidRPr="00727EC8" w:rsidRDefault="007350F8" w:rsidP="00417223">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queer</w:t>
            </w:r>
            <w:proofErr w:type="gramEnd"/>
          </w:p>
        </w:tc>
        <w:tc>
          <w:tcPr>
            <w:tcW w:w="2524" w:type="pct"/>
          </w:tcPr>
          <w:p w14:paraId="67838910" w14:textId="2BBD7EC5" w:rsidR="00AA4320" w:rsidRPr="00D15745" w:rsidRDefault="007350F8"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les</w:t>
            </w:r>
            <w:proofErr w:type="gramEnd"/>
            <w:r>
              <w:rPr>
                <w:rFonts w:ascii="Calibri" w:eastAsia="Calibri" w:hAnsi="Calibri" w:cs="Calibri"/>
                <w:color w:val="000000"/>
                <w:lang w:val="fr-FR"/>
              </w:rPr>
              <w:t xml:space="preserve"> personnes qui s'identifient comme « queer » pensent que leur orientation sexuelle et/ou leur identité de genre sont caractérisées par des constructions non binaires de l'orientation sexuelle, du genre et/ou du sexe</w:t>
            </w:r>
          </w:p>
          <w:p w14:paraId="3C2E0BFF" w14:textId="089B5501" w:rsidR="00AA4320" w:rsidRPr="00D15745" w:rsidRDefault="007350F8" w:rsidP="00417223">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terme est considéré comme plus souple et plus inclusif que les catégories traditionnelles d’orientation sexuelle et d'identité de genre, et certains l’utilisent même pour décrire leurs convictions politiques. Autrefois considéré comme péjoratif, queer a été repris par certaines personnes LGBT</w:t>
            </w:r>
            <w:r w:rsidR="001707B7">
              <w:rPr>
                <w:rFonts w:ascii="Calibri" w:eastAsia="Calibri" w:hAnsi="Calibri" w:cs="Calibri"/>
                <w:color w:val="000000"/>
                <w:lang w:val="fr-FR"/>
              </w:rPr>
              <w:t>I</w:t>
            </w:r>
            <w:r>
              <w:rPr>
                <w:rFonts w:ascii="Calibri" w:eastAsia="Calibri" w:hAnsi="Calibri" w:cs="Calibri"/>
                <w:color w:val="000000"/>
                <w:lang w:val="fr-FR"/>
              </w:rPr>
              <w:t xml:space="preserve"> pour se décrire ; cependant, ce terme n'est pas universellement accepté, même au sein de la communauté LGBT</w:t>
            </w:r>
            <w:r w:rsidR="001707B7">
              <w:rPr>
                <w:rFonts w:ascii="Calibri" w:eastAsia="Calibri" w:hAnsi="Calibri" w:cs="Calibri"/>
                <w:color w:val="000000"/>
                <w:lang w:val="fr-FR"/>
              </w:rPr>
              <w:t>I</w:t>
            </w:r>
            <w:r>
              <w:rPr>
                <w:rFonts w:ascii="Calibri" w:eastAsia="Calibri" w:hAnsi="Calibri" w:cs="Calibri"/>
                <w:color w:val="000000"/>
                <w:lang w:val="fr-FR"/>
              </w:rPr>
              <w:t>).</w:t>
            </w:r>
          </w:p>
        </w:tc>
      </w:tr>
      <w:tr w:rsidR="00896FB7" w:rsidRPr="00EE1EE3" w14:paraId="5FB7BE33" w14:textId="77777777" w:rsidTr="00EE7278">
        <w:trPr>
          <w:cantSplit/>
        </w:trPr>
        <w:tc>
          <w:tcPr>
            <w:tcW w:w="2476" w:type="pct"/>
            <w:shd w:val="clear" w:color="auto" w:fill="EDEDED"/>
          </w:tcPr>
          <w:p w14:paraId="01F30849" w14:textId="77777777" w:rsidR="00AA4320" w:rsidRPr="00727EC8" w:rsidRDefault="007350F8" w:rsidP="00417223">
            <w:pPr>
              <w:autoSpaceDE w:val="0"/>
              <w:autoSpaceDN w:val="0"/>
              <w:adjustRightInd w:val="0"/>
              <w:spacing w:after="0" w:line="276" w:lineRule="auto"/>
              <w:rPr>
                <w:rFonts w:cstheme="minorHAnsi"/>
                <w:color w:val="000000"/>
              </w:rPr>
            </w:pPr>
            <w:proofErr w:type="gramStart"/>
            <w:r w:rsidRPr="00EE7278">
              <w:rPr>
                <w:rFonts w:ascii="Calibri" w:eastAsia="Calibri" w:hAnsi="Calibri" w:cs="Calibri"/>
                <w:b/>
                <w:bCs/>
                <w:color w:val="000000"/>
                <w:lang w:val="fr-FR"/>
              </w:rPr>
              <w:t>bisexuel</w:t>
            </w:r>
            <w:proofErr w:type="gramEnd"/>
          </w:p>
        </w:tc>
        <w:tc>
          <w:tcPr>
            <w:tcW w:w="2524" w:type="pct"/>
            <w:shd w:val="clear" w:color="auto" w:fill="EDEDED"/>
          </w:tcPr>
          <w:p w14:paraId="63917EBB" w14:textId="6704233A" w:rsidR="00AA4320" w:rsidRPr="00D15745" w:rsidRDefault="00940F3C"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adjectif</w:t>
            </w:r>
            <w:proofErr w:type="gramEnd"/>
            <w:r>
              <w:rPr>
                <w:rFonts w:ascii="Calibri" w:eastAsia="Calibri" w:hAnsi="Calibri" w:cs="Calibri"/>
                <w:color w:val="000000"/>
                <w:lang w:val="fr-FR"/>
              </w:rPr>
              <w:t xml:space="preserve"> renvoyant à </w:t>
            </w:r>
            <w:r w:rsidR="007350F8">
              <w:rPr>
                <w:rFonts w:ascii="Calibri" w:eastAsia="Calibri" w:hAnsi="Calibri" w:cs="Calibri"/>
                <w:color w:val="000000"/>
                <w:lang w:val="fr-FR"/>
              </w:rPr>
              <w:t>une personne attirée émotionnellement, romantiquement et/ou sexuellement par des personnes de même sexe et de sexe différent, pas nécessairement au même moment, ni de la même manière ou au même degré</w:t>
            </w:r>
          </w:p>
        </w:tc>
      </w:tr>
      <w:tr w:rsidR="00896FB7" w:rsidRPr="00EE1EE3" w14:paraId="0A174702" w14:textId="77777777" w:rsidTr="00EE7278">
        <w:trPr>
          <w:cantSplit/>
        </w:trPr>
        <w:tc>
          <w:tcPr>
            <w:tcW w:w="2476" w:type="pct"/>
          </w:tcPr>
          <w:p w14:paraId="27089B72" w14:textId="77777777" w:rsidR="00AA4320" w:rsidRPr="00727EC8" w:rsidRDefault="007350F8" w:rsidP="00417223">
            <w:pPr>
              <w:autoSpaceDE w:val="0"/>
              <w:autoSpaceDN w:val="0"/>
              <w:adjustRightInd w:val="0"/>
              <w:spacing w:after="0" w:line="276" w:lineRule="auto"/>
              <w:rPr>
                <w:rFonts w:cstheme="minorHAnsi"/>
                <w:color w:val="000000"/>
              </w:rPr>
            </w:pPr>
            <w:proofErr w:type="gramStart"/>
            <w:r w:rsidRPr="00EE7278">
              <w:rPr>
                <w:rFonts w:ascii="Calibri" w:eastAsia="Calibri" w:hAnsi="Calibri" w:cs="Calibri"/>
                <w:b/>
                <w:bCs/>
                <w:color w:val="000000"/>
                <w:lang w:val="fr-FR"/>
              </w:rPr>
              <w:t>pansexuel</w:t>
            </w:r>
            <w:proofErr w:type="gramEnd"/>
          </w:p>
        </w:tc>
        <w:tc>
          <w:tcPr>
            <w:tcW w:w="2524" w:type="pct"/>
          </w:tcPr>
          <w:p w14:paraId="104033FE" w14:textId="24C84BF4" w:rsidR="00AA4320" w:rsidRPr="00D15745" w:rsidRDefault="00940F3C"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adjectif</w:t>
            </w:r>
            <w:proofErr w:type="gramEnd"/>
            <w:r>
              <w:rPr>
                <w:rFonts w:ascii="Calibri" w:eastAsia="Calibri" w:hAnsi="Calibri" w:cs="Calibri"/>
                <w:color w:val="000000"/>
                <w:lang w:val="fr-FR"/>
              </w:rPr>
              <w:t xml:space="preserve"> renvoyant à</w:t>
            </w:r>
            <w:r w:rsidDel="00940F3C">
              <w:rPr>
                <w:rFonts w:ascii="Calibri" w:eastAsia="Calibri" w:hAnsi="Calibri" w:cs="Calibri"/>
                <w:color w:val="000000"/>
                <w:lang w:val="fr-FR"/>
              </w:rPr>
              <w:t xml:space="preserve"> </w:t>
            </w:r>
            <w:r>
              <w:rPr>
                <w:rFonts w:ascii="Calibri" w:eastAsia="Calibri" w:hAnsi="Calibri" w:cs="Calibri"/>
                <w:color w:val="000000"/>
                <w:lang w:val="fr-FR"/>
              </w:rPr>
              <w:t xml:space="preserve">une personne dont </w:t>
            </w:r>
            <w:r w:rsidR="007350F8">
              <w:rPr>
                <w:rFonts w:ascii="Calibri" w:eastAsia="Calibri" w:hAnsi="Calibri" w:cs="Calibri"/>
                <w:color w:val="000000"/>
                <w:lang w:val="fr-FR"/>
              </w:rPr>
              <w:t>l’attirance sexuelle n'est pas limitée en termes de sexe, d’identité de genre ou d’expression de genre</w:t>
            </w:r>
          </w:p>
        </w:tc>
      </w:tr>
      <w:tr w:rsidR="00896FB7" w:rsidRPr="00EE1EE3" w14:paraId="32600737" w14:textId="77777777" w:rsidTr="00EE7278">
        <w:trPr>
          <w:cantSplit/>
        </w:trPr>
        <w:tc>
          <w:tcPr>
            <w:tcW w:w="2476" w:type="pct"/>
            <w:shd w:val="clear" w:color="auto" w:fill="EDEDED"/>
          </w:tcPr>
          <w:p w14:paraId="3A0BBFE4" w14:textId="331687FD" w:rsidR="00AA4320" w:rsidRPr="00727EC8" w:rsidRDefault="007350F8" w:rsidP="00417223">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cisgenre</w:t>
            </w:r>
            <w:proofErr w:type="gramEnd"/>
          </w:p>
        </w:tc>
        <w:tc>
          <w:tcPr>
            <w:tcW w:w="2524" w:type="pct"/>
            <w:shd w:val="clear" w:color="auto" w:fill="EDEDED"/>
          </w:tcPr>
          <w:p w14:paraId="6FCD4F17" w14:textId="101EA903" w:rsidR="00AA4320" w:rsidRPr="00D15745" w:rsidRDefault="00833F99"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adjectif</w:t>
            </w:r>
            <w:proofErr w:type="gramEnd"/>
            <w:r>
              <w:rPr>
                <w:rFonts w:ascii="Calibri" w:eastAsia="Calibri" w:hAnsi="Calibri" w:cs="Calibri"/>
                <w:color w:val="000000"/>
                <w:lang w:val="fr-FR"/>
              </w:rPr>
              <w:t xml:space="preserve"> renvoyant à une </w:t>
            </w:r>
            <w:r w:rsidR="007350F8">
              <w:rPr>
                <w:rFonts w:ascii="Calibri" w:eastAsia="Calibri" w:hAnsi="Calibri" w:cs="Calibri"/>
                <w:color w:val="000000"/>
                <w:lang w:val="fr-FR"/>
              </w:rPr>
              <w:t>personne qui s'identifie au sexe qui lui a été assigné à la naissance ; parfois abrégé en cis</w:t>
            </w:r>
          </w:p>
        </w:tc>
      </w:tr>
      <w:tr w:rsidR="00896FB7" w:rsidRPr="00EE1EE3" w14:paraId="3D14A10E" w14:textId="77777777" w:rsidTr="00EE7278">
        <w:trPr>
          <w:cantSplit/>
        </w:trPr>
        <w:tc>
          <w:tcPr>
            <w:tcW w:w="2476" w:type="pct"/>
          </w:tcPr>
          <w:p w14:paraId="29018526" w14:textId="77777777" w:rsidR="00AA4320" w:rsidRPr="00727EC8" w:rsidRDefault="007350F8" w:rsidP="00417223">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identité</w:t>
            </w:r>
            <w:proofErr w:type="gramEnd"/>
            <w:r>
              <w:rPr>
                <w:rFonts w:ascii="Calibri" w:eastAsia="Calibri" w:hAnsi="Calibri" w:cs="Calibri"/>
                <w:b/>
                <w:bCs/>
                <w:color w:val="000000"/>
                <w:lang w:val="fr-FR"/>
              </w:rPr>
              <w:t xml:space="preserve"> de genre</w:t>
            </w:r>
          </w:p>
        </w:tc>
        <w:tc>
          <w:tcPr>
            <w:tcW w:w="2524" w:type="pct"/>
          </w:tcPr>
          <w:p w14:paraId="3A5DD72D" w14:textId="0AE1D1AE" w:rsidR="00AA4320" w:rsidRPr="00D15745" w:rsidRDefault="007350F8"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sentiment</w:t>
            </w:r>
            <w:proofErr w:type="gramEnd"/>
            <w:r>
              <w:rPr>
                <w:rFonts w:ascii="Calibri" w:eastAsia="Calibri" w:hAnsi="Calibri" w:cs="Calibri"/>
                <w:color w:val="000000"/>
                <w:lang w:val="fr-FR"/>
              </w:rPr>
              <w:t xml:space="preserve"> pour un individu d'être un homme, une femme,</w:t>
            </w:r>
            <w:r w:rsidR="00833F99">
              <w:rPr>
                <w:rFonts w:ascii="Calibri" w:eastAsia="Calibri" w:hAnsi="Calibri" w:cs="Calibri"/>
                <w:color w:val="000000"/>
                <w:lang w:val="fr-FR"/>
              </w:rPr>
              <w:t xml:space="preserve"> les deux de manière concomitante variable ou fluide, ni l’un ni l’autre,</w:t>
            </w:r>
            <w:r>
              <w:rPr>
                <w:rFonts w:ascii="Calibri" w:eastAsia="Calibri" w:hAnsi="Calibri" w:cs="Calibri"/>
                <w:color w:val="000000"/>
                <w:lang w:val="fr-FR"/>
              </w:rPr>
              <w:t xml:space="preserve"> genderqueer, de genre non conforme, etc.; non nécessairement visible par les autres</w:t>
            </w:r>
          </w:p>
        </w:tc>
      </w:tr>
      <w:tr w:rsidR="00896FB7" w:rsidRPr="00EE1EE3" w14:paraId="05FE6A79" w14:textId="77777777" w:rsidTr="00EE7278">
        <w:trPr>
          <w:cantSplit/>
        </w:trPr>
        <w:tc>
          <w:tcPr>
            <w:tcW w:w="2476" w:type="pct"/>
            <w:shd w:val="clear" w:color="auto" w:fill="EDEDED"/>
          </w:tcPr>
          <w:p w14:paraId="5B736968" w14:textId="77777777" w:rsidR="00AA4320" w:rsidRPr="00727EC8" w:rsidRDefault="007350F8" w:rsidP="00417223">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lastRenderedPageBreak/>
              <w:t>expression</w:t>
            </w:r>
            <w:proofErr w:type="gramEnd"/>
            <w:r>
              <w:rPr>
                <w:rFonts w:ascii="Calibri" w:eastAsia="Calibri" w:hAnsi="Calibri" w:cs="Calibri"/>
                <w:b/>
                <w:bCs/>
                <w:color w:val="000000"/>
                <w:lang w:val="fr-FR"/>
              </w:rPr>
              <w:t xml:space="preserve"> de genre</w:t>
            </w:r>
          </w:p>
        </w:tc>
        <w:tc>
          <w:tcPr>
            <w:tcW w:w="2524" w:type="pct"/>
            <w:shd w:val="clear" w:color="auto" w:fill="EDEDED"/>
          </w:tcPr>
          <w:p w14:paraId="759F9405" w14:textId="6DDBDA58" w:rsidR="00AA4320" w:rsidRPr="00D15745" w:rsidRDefault="007350F8"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la</w:t>
            </w:r>
            <w:proofErr w:type="gramEnd"/>
            <w:r>
              <w:rPr>
                <w:rFonts w:ascii="Calibri" w:eastAsia="Calibri" w:hAnsi="Calibri" w:cs="Calibri"/>
                <w:color w:val="000000"/>
                <w:lang w:val="fr-FR"/>
              </w:rPr>
              <w:t xml:space="preserve"> manière dont on choisit d</w:t>
            </w:r>
            <w:r w:rsidR="00D003B1">
              <w:rPr>
                <w:rFonts w:ascii="Calibri" w:eastAsia="Calibri" w:hAnsi="Calibri" w:cs="Calibri"/>
                <w:color w:val="000000"/>
                <w:lang w:val="fr-FR"/>
              </w:rPr>
              <w:t xml:space="preserve">’exprimer </w:t>
            </w:r>
            <w:r>
              <w:rPr>
                <w:rFonts w:ascii="Calibri" w:eastAsia="Calibri" w:hAnsi="Calibri" w:cs="Calibri"/>
                <w:color w:val="000000"/>
                <w:lang w:val="fr-FR"/>
              </w:rPr>
              <w:t>son identité de genre à travers</w:t>
            </w:r>
            <w:r w:rsidR="003A4737">
              <w:rPr>
                <w:rFonts w:ascii="Calibri" w:eastAsia="Calibri" w:hAnsi="Calibri" w:cs="Calibri"/>
                <w:color w:val="000000"/>
                <w:lang w:val="fr-FR"/>
              </w:rPr>
              <w:t>, un prénom, un pronom,</w:t>
            </w:r>
            <w:r>
              <w:rPr>
                <w:rFonts w:ascii="Calibri" w:eastAsia="Calibri" w:hAnsi="Calibri" w:cs="Calibri"/>
                <w:color w:val="000000"/>
                <w:lang w:val="fr-FR"/>
              </w:rPr>
              <w:t xml:space="preserve"> le comportement, les vêtements et d'autres caractéristiques extérieures</w:t>
            </w:r>
          </w:p>
        </w:tc>
      </w:tr>
      <w:tr w:rsidR="00896FB7" w:rsidRPr="00EE1EE3" w14:paraId="4F4EB656" w14:textId="77777777" w:rsidTr="00EE7278">
        <w:trPr>
          <w:cantSplit/>
        </w:trPr>
        <w:tc>
          <w:tcPr>
            <w:tcW w:w="2476" w:type="pct"/>
          </w:tcPr>
          <w:p w14:paraId="0C4751BE" w14:textId="26545C7A" w:rsidR="00AA4320" w:rsidRPr="00727EC8" w:rsidRDefault="007350F8" w:rsidP="00417223">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non</w:t>
            </w:r>
            <w:proofErr w:type="gramEnd"/>
            <w:r>
              <w:rPr>
                <w:rFonts w:ascii="Calibri" w:eastAsia="Calibri" w:hAnsi="Calibri" w:cs="Calibri"/>
                <w:b/>
                <w:bCs/>
                <w:color w:val="000000"/>
                <w:lang w:val="fr-FR"/>
              </w:rPr>
              <w:t xml:space="preserve"> binaire</w:t>
            </w:r>
          </w:p>
        </w:tc>
        <w:tc>
          <w:tcPr>
            <w:tcW w:w="2524" w:type="pct"/>
          </w:tcPr>
          <w:p w14:paraId="271798D4" w14:textId="7F96EC96" w:rsidR="00AA4320" w:rsidRPr="00D15745" w:rsidRDefault="00EB00DE"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adjectif</w:t>
            </w:r>
            <w:proofErr w:type="gramEnd"/>
            <w:r>
              <w:rPr>
                <w:rFonts w:ascii="Calibri" w:eastAsia="Calibri" w:hAnsi="Calibri" w:cs="Calibri"/>
                <w:color w:val="000000"/>
                <w:lang w:val="fr-FR"/>
              </w:rPr>
              <w:t xml:space="preserve"> renvoyant à une </w:t>
            </w:r>
            <w:r w:rsidR="007350F8">
              <w:rPr>
                <w:rFonts w:ascii="Calibri" w:eastAsia="Calibri" w:hAnsi="Calibri" w:cs="Calibri"/>
                <w:color w:val="000000"/>
                <w:lang w:val="fr-FR"/>
              </w:rPr>
              <w:t>personne qui s'identifie en dehors d'un genre binaire et ne se considère ni homme ni femme</w:t>
            </w:r>
          </w:p>
        </w:tc>
      </w:tr>
      <w:tr w:rsidR="00896FB7" w:rsidRPr="00EE1EE3" w14:paraId="3DB38DE1" w14:textId="77777777" w:rsidTr="00EE7278">
        <w:trPr>
          <w:cantSplit/>
        </w:trPr>
        <w:tc>
          <w:tcPr>
            <w:tcW w:w="2476" w:type="pct"/>
            <w:shd w:val="clear" w:color="auto" w:fill="EDEDED"/>
          </w:tcPr>
          <w:p w14:paraId="19B5D95C" w14:textId="0D6C8D90" w:rsidR="00AA4320" w:rsidRPr="00727EC8" w:rsidRDefault="007350F8" w:rsidP="00417223">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genderqueer</w:t>
            </w:r>
            <w:proofErr w:type="gramEnd"/>
          </w:p>
        </w:tc>
        <w:tc>
          <w:tcPr>
            <w:tcW w:w="2524" w:type="pct"/>
            <w:shd w:val="clear" w:color="auto" w:fill="EDEDED"/>
          </w:tcPr>
          <w:p w14:paraId="70606946" w14:textId="01BBABD0" w:rsidR="00AA4320" w:rsidRPr="00D15745" w:rsidRDefault="00EB00DE"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adjectif</w:t>
            </w:r>
            <w:proofErr w:type="gramEnd"/>
            <w:r>
              <w:rPr>
                <w:rFonts w:ascii="Calibri" w:eastAsia="Calibri" w:hAnsi="Calibri" w:cs="Calibri"/>
                <w:color w:val="000000"/>
                <w:lang w:val="fr-FR"/>
              </w:rPr>
              <w:t xml:space="preserve"> renvoyant à une </w:t>
            </w:r>
            <w:r w:rsidR="007350F8">
              <w:rPr>
                <w:rFonts w:ascii="Calibri" w:eastAsia="Calibri" w:hAnsi="Calibri" w:cs="Calibri"/>
                <w:color w:val="000000"/>
                <w:lang w:val="fr-FR"/>
              </w:rPr>
              <w:t>personne qui ne s'identifie pas comme homme ou femme ou qui ne souscrit pas aux distinctions conventionnelles entre les sexes</w:t>
            </w:r>
          </w:p>
        </w:tc>
      </w:tr>
      <w:tr w:rsidR="00896FB7" w:rsidRPr="00EE1EE3" w14:paraId="503E0461" w14:textId="77777777" w:rsidTr="00EE7278">
        <w:trPr>
          <w:cantSplit/>
        </w:trPr>
        <w:tc>
          <w:tcPr>
            <w:tcW w:w="2476" w:type="pct"/>
          </w:tcPr>
          <w:p w14:paraId="2C56B680" w14:textId="187F8D9B" w:rsidR="00AA4320" w:rsidRPr="00727EC8" w:rsidRDefault="007350F8" w:rsidP="00417223">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genre</w:t>
            </w:r>
            <w:proofErr w:type="gramEnd"/>
            <w:r>
              <w:rPr>
                <w:rFonts w:ascii="Calibri" w:eastAsia="Calibri" w:hAnsi="Calibri" w:cs="Calibri"/>
                <w:b/>
                <w:bCs/>
                <w:color w:val="000000"/>
                <w:lang w:val="fr-FR"/>
              </w:rPr>
              <w:t xml:space="preserve"> non conforme</w:t>
            </w:r>
          </w:p>
        </w:tc>
        <w:tc>
          <w:tcPr>
            <w:tcW w:w="2524" w:type="pct"/>
          </w:tcPr>
          <w:p w14:paraId="15A4041A" w14:textId="169195B7" w:rsidR="00AA4320" w:rsidRPr="00D15745" w:rsidRDefault="00EB00DE" w:rsidP="00417223">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Expression renvoyant à </w:t>
            </w:r>
            <w:r w:rsidR="007350F8">
              <w:rPr>
                <w:rFonts w:ascii="Calibri" w:eastAsia="Calibri" w:hAnsi="Calibri" w:cs="Calibri"/>
                <w:color w:val="000000"/>
                <w:lang w:val="fr-FR"/>
              </w:rPr>
              <w:t>personne dont l'expression de genre n'est pas conforme aux normes sociétales ou culturelles attendues de ce genre</w:t>
            </w:r>
          </w:p>
        </w:tc>
      </w:tr>
      <w:tr w:rsidR="00896FB7" w:rsidRPr="00EE1EE3" w14:paraId="2004252C" w14:textId="77777777" w:rsidTr="00EE7278">
        <w:trPr>
          <w:cantSplit/>
        </w:trPr>
        <w:tc>
          <w:tcPr>
            <w:tcW w:w="2476" w:type="pct"/>
            <w:shd w:val="clear" w:color="auto" w:fill="EDEDED"/>
          </w:tcPr>
          <w:p w14:paraId="763ADA25" w14:textId="38BC979F" w:rsidR="00AA4320" w:rsidRPr="00727EC8" w:rsidRDefault="00EB00DE" w:rsidP="00417223">
            <w:pPr>
              <w:autoSpaceDE w:val="0"/>
              <w:autoSpaceDN w:val="0"/>
              <w:adjustRightInd w:val="0"/>
              <w:spacing w:after="0" w:line="276" w:lineRule="auto"/>
              <w:rPr>
                <w:rFonts w:cstheme="minorHAnsi"/>
                <w:color w:val="000000"/>
              </w:rPr>
            </w:pPr>
            <w:proofErr w:type="spellStart"/>
            <w:proofErr w:type="gramStart"/>
            <w:r>
              <w:rPr>
                <w:rFonts w:ascii="Calibri" w:eastAsia="Calibri" w:hAnsi="Calibri" w:cs="Calibri"/>
                <w:b/>
                <w:bCs/>
                <w:color w:val="000000"/>
                <w:lang w:val="fr-FR"/>
              </w:rPr>
              <w:t>gender</w:t>
            </w:r>
            <w:proofErr w:type="spellEnd"/>
            <w:proofErr w:type="gramEnd"/>
            <w:r>
              <w:rPr>
                <w:rFonts w:ascii="Calibri" w:eastAsia="Calibri" w:hAnsi="Calibri" w:cs="Calibri"/>
                <w:b/>
                <w:bCs/>
                <w:color w:val="000000"/>
                <w:lang w:val="fr-FR"/>
              </w:rPr>
              <w:t xml:space="preserve"> variant</w:t>
            </w:r>
          </w:p>
        </w:tc>
        <w:tc>
          <w:tcPr>
            <w:tcW w:w="2524" w:type="pct"/>
            <w:shd w:val="clear" w:color="auto" w:fill="EDEDED"/>
          </w:tcPr>
          <w:p w14:paraId="4ACFC6A3" w14:textId="3728A61B" w:rsidR="00AA4320" w:rsidRPr="00D15745" w:rsidRDefault="00EB00DE"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expression</w:t>
            </w:r>
            <w:proofErr w:type="gramEnd"/>
            <w:r>
              <w:rPr>
                <w:rFonts w:ascii="Calibri" w:eastAsia="Calibri" w:hAnsi="Calibri" w:cs="Calibri"/>
                <w:color w:val="000000"/>
                <w:lang w:val="fr-FR"/>
              </w:rPr>
              <w:t xml:space="preserve"> renvoyant à une </w:t>
            </w:r>
            <w:r w:rsidR="007350F8">
              <w:rPr>
                <w:rFonts w:ascii="Calibri" w:eastAsia="Calibri" w:hAnsi="Calibri" w:cs="Calibri"/>
                <w:color w:val="000000"/>
                <w:lang w:val="fr-FR"/>
              </w:rPr>
              <w:t>personne dont l'identité de genre change entre différents genres (ou qui est dépourvue de genre) ou sur le spectre</w:t>
            </w:r>
          </w:p>
        </w:tc>
      </w:tr>
      <w:tr w:rsidR="00896FB7" w:rsidRPr="00EE1EE3" w14:paraId="670CC9E3" w14:textId="77777777" w:rsidTr="00EE7278">
        <w:trPr>
          <w:cantSplit/>
        </w:trPr>
        <w:tc>
          <w:tcPr>
            <w:tcW w:w="2476" w:type="pct"/>
          </w:tcPr>
          <w:p w14:paraId="5A12C72C" w14:textId="361176B2" w:rsidR="00AA4320" w:rsidRPr="00727EC8" w:rsidRDefault="007350F8" w:rsidP="00417223">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agenre</w:t>
            </w:r>
            <w:proofErr w:type="gramEnd"/>
          </w:p>
        </w:tc>
        <w:tc>
          <w:tcPr>
            <w:tcW w:w="2524" w:type="pct"/>
          </w:tcPr>
          <w:p w14:paraId="1D6FDA0C" w14:textId="686F2195" w:rsidR="00AA4320" w:rsidRPr="00D15745" w:rsidRDefault="00EB00DE"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adjectif</w:t>
            </w:r>
            <w:proofErr w:type="gramEnd"/>
            <w:r>
              <w:rPr>
                <w:rFonts w:ascii="Calibri" w:eastAsia="Calibri" w:hAnsi="Calibri" w:cs="Calibri"/>
                <w:color w:val="000000"/>
                <w:lang w:val="fr-FR"/>
              </w:rPr>
              <w:t xml:space="preserve"> renvoyant à une </w:t>
            </w:r>
            <w:r w:rsidR="007350F8">
              <w:rPr>
                <w:rFonts w:ascii="Calibri" w:eastAsia="Calibri" w:hAnsi="Calibri" w:cs="Calibri"/>
                <w:color w:val="000000"/>
                <w:lang w:val="fr-FR"/>
              </w:rPr>
              <w:t>personne qui ne s'identifie à aucun genre ; les personnes agenres peuvent souhaiter n'avoir aucune expression de genre, ce que beaucoup trouvent difficile dans notre société genrée</w:t>
            </w:r>
          </w:p>
        </w:tc>
      </w:tr>
      <w:tr w:rsidR="00896FB7" w:rsidRPr="00EE1EE3" w14:paraId="026E7606" w14:textId="77777777" w:rsidTr="00EE7278">
        <w:trPr>
          <w:cantSplit/>
        </w:trPr>
        <w:tc>
          <w:tcPr>
            <w:tcW w:w="2476" w:type="pct"/>
            <w:shd w:val="clear" w:color="auto" w:fill="EDEDED"/>
          </w:tcPr>
          <w:p w14:paraId="70A9E6E6" w14:textId="349BA3EC" w:rsidR="00AA4320" w:rsidRPr="00727EC8" w:rsidRDefault="007350F8" w:rsidP="00417223">
            <w:pPr>
              <w:autoSpaceDE w:val="0"/>
              <w:autoSpaceDN w:val="0"/>
              <w:adjustRightInd w:val="0"/>
              <w:spacing w:after="0" w:line="276" w:lineRule="auto"/>
              <w:rPr>
                <w:rFonts w:cstheme="minorHAnsi"/>
                <w:color w:val="000000"/>
              </w:rPr>
            </w:pPr>
            <w:proofErr w:type="spellStart"/>
            <w:proofErr w:type="gramStart"/>
            <w:r>
              <w:rPr>
                <w:rFonts w:ascii="Calibri" w:eastAsia="Calibri" w:hAnsi="Calibri" w:cs="Calibri"/>
                <w:b/>
                <w:bCs/>
                <w:color w:val="000000"/>
                <w:lang w:val="fr-FR"/>
              </w:rPr>
              <w:t>bigenre</w:t>
            </w:r>
            <w:proofErr w:type="spellEnd"/>
            <w:proofErr w:type="gramEnd"/>
          </w:p>
        </w:tc>
        <w:tc>
          <w:tcPr>
            <w:tcW w:w="2524" w:type="pct"/>
            <w:shd w:val="clear" w:color="auto" w:fill="EDEDED"/>
          </w:tcPr>
          <w:p w14:paraId="410BF2CD" w14:textId="5BF43EDB" w:rsidR="00AA4320" w:rsidRPr="00D15745" w:rsidRDefault="00EB00DE"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adjectif</w:t>
            </w:r>
            <w:proofErr w:type="gramEnd"/>
            <w:r>
              <w:rPr>
                <w:rFonts w:ascii="Calibri" w:eastAsia="Calibri" w:hAnsi="Calibri" w:cs="Calibri"/>
                <w:color w:val="000000"/>
                <w:lang w:val="fr-FR"/>
              </w:rPr>
              <w:t xml:space="preserve"> renvoyant à une </w:t>
            </w:r>
            <w:r w:rsidR="007350F8">
              <w:rPr>
                <w:rFonts w:ascii="Calibri" w:eastAsia="Calibri" w:hAnsi="Calibri" w:cs="Calibri"/>
                <w:color w:val="000000"/>
                <w:lang w:val="fr-FR"/>
              </w:rPr>
              <w:t>personne qui s'identifie à deux genres</w:t>
            </w:r>
          </w:p>
        </w:tc>
      </w:tr>
      <w:tr w:rsidR="00896FB7" w:rsidRPr="00EE1EE3" w14:paraId="5459EF22" w14:textId="77777777" w:rsidTr="00EE7278">
        <w:trPr>
          <w:cantSplit/>
        </w:trPr>
        <w:tc>
          <w:tcPr>
            <w:tcW w:w="2476" w:type="pct"/>
          </w:tcPr>
          <w:p w14:paraId="62B26599" w14:textId="51EC5625" w:rsidR="00AA4320" w:rsidRPr="00727EC8" w:rsidRDefault="007350F8" w:rsidP="00417223">
            <w:pPr>
              <w:autoSpaceDE w:val="0"/>
              <w:autoSpaceDN w:val="0"/>
              <w:adjustRightInd w:val="0"/>
              <w:spacing w:after="0" w:line="276" w:lineRule="auto"/>
              <w:rPr>
                <w:rFonts w:cstheme="minorHAnsi"/>
                <w:color w:val="000000"/>
              </w:rPr>
            </w:pPr>
            <w:proofErr w:type="spellStart"/>
            <w:proofErr w:type="gramStart"/>
            <w:r>
              <w:rPr>
                <w:rFonts w:ascii="Calibri" w:eastAsia="Calibri" w:hAnsi="Calibri" w:cs="Calibri"/>
                <w:b/>
                <w:bCs/>
                <w:color w:val="000000"/>
                <w:lang w:val="fr-FR"/>
              </w:rPr>
              <w:t>pangenre</w:t>
            </w:r>
            <w:proofErr w:type="spellEnd"/>
            <w:proofErr w:type="gramEnd"/>
          </w:p>
        </w:tc>
        <w:tc>
          <w:tcPr>
            <w:tcW w:w="2524" w:type="pct"/>
          </w:tcPr>
          <w:p w14:paraId="70F078DF" w14:textId="0A6EB2E9" w:rsidR="00AA4320" w:rsidRPr="00D15745" w:rsidRDefault="00EB00DE"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adjectif</w:t>
            </w:r>
            <w:proofErr w:type="gramEnd"/>
            <w:r>
              <w:rPr>
                <w:rFonts w:ascii="Calibri" w:eastAsia="Calibri" w:hAnsi="Calibri" w:cs="Calibri"/>
                <w:color w:val="000000"/>
                <w:lang w:val="fr-FR"/>
              </w:rPr>
              <w:t xml:space="preserve"> renvoyant à une </w:t>
            </w:r>
            <w:r w:rsidR="007350F8">
              <w:rPr>
                <w:rFonts w:ascii="Calibri" w:eastAsia="Calibri" w:hAnsi="Calibri" w:cs="Calibri"/>
                <w:color w:val="000000"/>
                <w:lang w:val="fr-FR"/>
              </w:rPr>
              <w:t>personne qui s'identifie à tous les genres</w:t>
            </w:r>
          </w:p>
        </w:tc>
      </w:tr>
      <w:tr w:rsidR="00896FB7" w:rsidRPr="00EE1EE3" w14:paraId="7266E8E9" w14:textId="77777777" w:rsidTr="00EE7278">
        <w:trPr>
          <w:cantSplit/>
        </w:trPr>
        <w:tc>
          <w:tcPr>
            <w:tcW w:w="2476" w:type="pct"/>
            <w:shd w:val="clear" w:color="auto" w:fill="EDEDED"/>
          </w:tcPr>
          <w:p w14:paraId="1937C964" w14:textId="77777777" w:rsidR="00AA4320" w:rsidRPr="00727EC8" w:rsidRDefault="007350F8" w:rsidP="00417223">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trans</w:t>
            </w:r>
            <w:proofErr w:type="gramEnd"/>
            <w:r>
              <w:rPr>
                <w:rFonts w:ascii="Calibri" w:eastAsia="Calibri" w:hAnsi="Calibri" w:cs="Calibri"/>
                <w:b/>
                <w:bCs/>
                <w:color w:val="000000"/>
                <w:lang w:val="fr-FR"/>
              </w:rPr>
              <w:t>*</w:t>
            </w:r>
          </w:p>
          <w:p w14:paraId="0C35B33C" w14:textId="77777777" w:rsidR="00AA4320" w:rsidRPr="00727EC8" w:rsidRDefault="007350F8" w:rsidP="00417223">
            <w:pPr>
              <w:autoSpaceDE w:val="0"/>
              <w:autoSpaceDN w:val="0"/>
              <w:adjustRightInd w:val="0"/>
              <w:spacing w:after="0" w:line="276" w:lineRule="auto"/>
              <w:rPr>
                <w:rFonts w:cstheme="minorHAnsi"/>
                <w:color w:val="000000"/>
              </w:rPr>
            </w:pPr>
            <w:r>
              <w:rPr>
                <w:rFonts w:ascii="Calibri" w:eastAsia="Calibri" w:hAnsi="Calibri" w:cs="Calibri"/>
                <w:color w:val="000000"/>
                <w:lang w:val="fr-FR"/>
              </w:rPr>
              <w:t>[</w:t>
            </w:r>
            <w:proofErr w:type="gramStart"/>
            <w:r>
              <w:rPr>
                <w:rFonts w:ascii="Calibri" w:eastAsia="Calibri" w:hAnsi="Calibri" w:cs="Calibri"/>
                <w:color w:val="000000"/>
                <w:lang w:val="fr-FR"/>
              </w:rPr>
              <w:t>quelquefois</w:t>
            </w:r>
            <w:proofErr w:type="gramEnd"/>
            <w:r>
              <w:rPr>
                <w:rFonts w:ascii="Calibri" w:eastAsia="Calibri" w:hAnsi="Calibri" w:cs="Calibri"/>
                <w:color w:val="000000"/>
                <w:lang w:val="fr-FR"/>
              </w:rPr>
              <w:t xml:space="preserve">] </w:t>
            </w:r>
            <w:r>
              <w:rPr>
                <w:rFonts w:ascii="Calibri" w:eastAsia="Calibri" w:hAnsi="Calibri" w:cs="Calibri"/>
                <w:b/>
                <w:bCs/>
                <w:color w:val="000000"/>
                <w:lang w:val="fr-FR"/>
              </w:rPr>
              <w:t>transgenre</w:t>
            </w:r>
          </w:p>
        </w:tc>
        <w:tc>
          <w:tcPr>
            <w:tcW w:w="2524" w:type="pct"/>
            <w:shd w:val="clear" w:color="auto" w:fill="EDEDED"/>
          </w:tcPr>
          <w:p w14:paraId="0329B73A" w14:textId="72B1B93B" w:rsidR="00AA4320" w:rsidRPr="00D15745" w:rsidRDefault="00EB00DE"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adjectif</w:t>
            </w:r>
            <w:proofErr w:type="gramEnd"/>
            <w:r>
              <w:rPr>
                <w:rFonts w:ascii="Calibri" w:eastAsia="Calibri" w:hAnsi="Calibri" w:cs="Calibri"/>
                <w:color w:val="000000"/>
                <w:lang w:val="fr-FR"/>
              </w:rPr>
              <w:t xml:space="preserve"> </w:t>
            </w:r>
            <w:r w:rsidR="007350F8">
              <w:rPr>
                <w:rFonts w:ascii="Calibri" w:eastAsia="Calibri" w:hAnsi="Calibri" w:cs="Calibri"/>
                <w:color w:val="000000"/>
                <w:lang w:val="fr-FR"/>
              </w:rPr>
              <w:t>global qui fait référence à plusieurs identités sur le spectre de l’identité de genre</w:t>
            </w:r>
          </w:p>
        </w:tc>
      </w:tr>
      <w:tr w:rsidR="00896FB7" w:rsidRPr="00EE1EE3" w14:paraId="60EE9B0D" w14:textId="77777777" w:rsidTr="00EE7278">
        <w:trPr>
          <w:cantSplit/>
        </w:trPr>
        <w:tc>
          <w:tcPr>
            <w:tcW w:w="2476" w:type="pct"/>
          </w:tcPr>
          <w:p w14:paraId="71021F5D" w14:textId="77777777" w:rsidR="00AA4320" w:rsidRPr="00727EC8" w:rsidRDefault="007350F8" w:rsidP="00417223">
            <w:pPr>
              <w:autoSpaceDE w:val="0"/>
              <w:autoSpaceDN w:val="0"/>
              <w:adjustRightInd w:val="0"/>
              <w:spacing w:after="0" w:line="276" w:lineRule="auto"/>
              <w:rPr>
                <w:rFonts w:cstheme="minorHAnsi"/>
                <w:color w:val="000000"/>
              </w:rPr>
            </w:pPr>
            <w:proofErr w:type="spellStart"/>
            <w:proofErr w:type="gramStart"/>
            <w:r>
              <w:rPr>
                <w:rFonts w:ascii="Calibri" w:eastAsia="Calibri" w:hAnsi="Calibri" w:cs="Calibri"/>
                <w:b/>
                <w:bCs/>
                <w:color w:val="000000"/>
                <w:lang w:val="fr-FR"/>
              </w:rPr>
              <w:t>mégenrer</w:t>
            </w:r>
            <w:proofErr w:type="spellEnd"/>
            <w:proofErr w:type="gramEnd"/>
          </w:p>
        </w:tc>
        <w:tc>
          <w:tcPr>
            <w:tcW w:w="2524" w:type="pct"/>
          </w:tcPr>
          <w:p w14:paraId="797A3921" w14:textId="77777777" w:rsidR="00AA4320" w:rsidRPr="00D15745" w:rsidRDefault="007350F8" w:rsidP="00417223">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faire</w:t>
            </w:r>
            <w:proofErr w:type="gramEnd"/>
            <w:r>
              <w:rPr>
                <w:rFonts w:ascii="Calibri" w:eastAsia="Calibri" w:hAnsi="Calibri" w:cs="Calibri"/>
                <w:color w:val="000000"/>
                <w:lang w:val="fr-FR"/>
              </w:rPr>
              <w:t xml:space="preserve"> référence à quelqu'un, en particulier une personne transgenre, en utilisant un mot ou un pronom qui ne correspond pas à son identité de genre</w:t>
            </w:r>
          </w:p>
        </w:tc>
      </w:tr>
    </w:tbl>
    <w:p w14:paraId="3CBF2980" w14:textId="77777777" w:rsidR="00AA4320" w:rsidRPr="00D15745" w:rsidRDefault="00AA4320" w:rsidP="00417223">
      <w:pPr>
        <w:spacing w:after="0" w:line="276" w:lineRule="auto"/>
        <w:rPr>
          <w:rFonts w:cstheme="minorHAnsi"/>
          <w:lang w:val="fr-FR"/>
        </w:rPr>
      </w:pPr>
    </w:p>
    <w:p w14:paraId="0CA7DCEF" w14:textId="77777777"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Pronoms</w:t>
      </w:r>
    </w:p>
    <w:p w14:paraId="1ED3709A"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Bien que des exceptions existent, en règle générale, utilisez des pronoms qui correspondent à l'identité de genre d'une personne. L'identité de genre étant une caractéristique interne qui ne doit pas être présumée, la meilleure pratique consiste à demander à la personne quel pronom utiliser. En plus des </w:t>
      </w:r>
      <w:r>
        <w:rPr>
          <w:rFonts w:ascii="Calibri" w:eastAsia="Calibri" w:hAnsi="Calibri" w:cs="Calibri"/>
          <w:sz w:val="22"/>
          <w:szCs w:val="22"/>
          <w:lang w:val="fr-FR"/>
        </w:rPr>
        <w:lastRenderedPageBreak/>
        <w:t>pronoms binaires anglais « </w:t>
      </w:r>
      <w:proofErr w:type="spellStart"/>
      <w:r>
        <w:rPr>
          <w:rFonts w:ascii="Calibri" w:eastAsia="Calibri" w:hAnsi="Calibri" w:cs="Calibri"/>
          <w:sz w:val="22"/>
          <w:szCs w:val="22"/>
          <w:lang w:val="fr-FR"/>
        </w:rPr>
        <w:t>she</w:t>
      </w:r>
      <w:proofErr w:type="spellEnd"/>
      <w:r>
        <w:rPr>
          <w:rFonts w:ascii="Calibri" w:eastAsia="Calibri" w:hAnsi="Calibri" w:cs="Calibri"/>
          <w:sz w:val="22"/>
          <w:szCs w:val="22"/>
          <w:lang w:val="fr-FR"/>
        </w:rPr>
        <w:t>/</w:t>
      </w:r>
      <w:proofErr w:type="spellStart"/>
      <w:r>
        <w:rPr>
          <w:rFonts w:ascii="Calibri" w:eastAsia="Calibri" w:hAnsi="Calibri" w:cs="Calibri"/>
          <w:sz w:val="22"/>
          <w:szCs w:val="22"/>
          <w:lang w:val="fr-FR"/>
        </w:rPr>
        <w:t>her</w:t>
      </w:r>
      <w:proofErr w:type="spellEnd"/>
      <w:r>
        <w:rPr>
          <w:rFonts w:ascii="Calibri" w:eastAsia="Calibri" w:hAnsi="Calibri" w:cs="Calibri"/>
          <w:sz w:val="22"/>
          <w:szCs w:val="22"/>
          <w:lang w:val="fr-FR"/>
        </w:rPr>
        <w:t> » (elle) et « </w:t>
      </w:r>
      <w:proofErr w:type="spellStart"/>
      <w:r>
        <w:rPr>
          <w:rFonts w:ascii="Calibri" w:eastAsia="Calibri" w:hAnsi="Calibri" w:cs="Calibri"/>
          <w:sz w:val="22"/>
          <w:szCs w:val="22"/>
          <w:lang w:val="fr-FR"/>
        </w:rPr>
        <w:t>he</w:t>
      </w:r>
      <w:proofErr w:type="spellEnd"/>
      <w:r>
        <w:rPr>
          <w:rFonts w:ascii="Calibri" w:eastAsia="Calibri" w:hAnsi="Calibri" w:cs="Calibri"/>
          <w:sz w:val="22"/>
          <w:szCs w:val="22"/>
          <w:lang w:val="fr-FR"/>
        </w:rPr>
        <w:t>/</w:t>
      </w:r>
      <w:proofErr w:type="spellStart"/>
      <w:r>
        <w:rPr>
          <w:rFonts w:ascii="Calibri" w:eastAsia="Calibri" w:hAnsi="Calibri" w:cs="Calibri"/>
          <w:sz w:val="22"/>
          <w:szCs w:val="22"/>
          <w:lang w:val="fr-FR"/>
        </w:rPr>
        <w:t>his</w:t>
      </w:r>
      <w:proofErr w:type="spellEnd"/>
      <w:r>
        <w:rPr>
          <w:rFonts w:ascii="Calibri" w:eastAsia="Calibri" w:hAnsi="Calibri" w:cs="Calibri"/>
          <w:sz w:val="22"/>
          <w:szCs w:val="22"/>
          <w:lang w:val="fr-FR"/>
        </w:rPr>
        <w:t> » (il/lui) certaines personnes peuvent utiliser des pronoms non binaires, notamment les pronoms « </w:t>
      </w:r>
      <w:proofErr w:type="spellStart"/>
      <w:r>
        <w:rPr>
          <w:rFonts w:ascii="Calibri" w:eastAsia="Calibri" w:hAnsi="Calibri" w:cs="Calibri"/>
          <w:sz w:val="22"/>
          <w:szCs w:val="22"/>
          <w:lang w:val="fr-FR"/>
        </w:rPr>
        <w:t>they</w:t>
      </w:r>
      <w:proofErr w:type="spellEnd"/>
      <w:r>
        <w:rPr>
          <w:rFonts w:ascii="Calibri" w:eastAsia="Calibri" w:hAnsi="Calibri" w:cs="Calibri"/>
          <w:sz w:val="22"/>
          <w:szCs w:val="22"/>
          <w:lang w:val="fr-FR"/>
        </w:rPr>
        <w:t>/</w:t>
      </w:r>
      <w:proofErr w:type="spellStart"/>
      <w:r>
        <w:rPr>
          <w:rFonts w:ascii="Calibri" w:eastAsia="Calibri" w:hAnsi="Calibri" w:cs="Calibri"/>
          <w:sz w:val="22"/>
          <w:szCs w:val="22"/>
          <w:lang w:val="fr-FR"/>
        </w:rPr>
        <w:t>their</w:t>
      </w:r>
      <w:proofErr w:type="spellEnd"/>
      <w:r>
        <w:rPr>
          <w:rFonts w:ascii="Calibri" w:eastAsia="Calibri" w:hAnsi="Calibri" w:cs="Calibri"/>
          <w:sz w:val="22"/>
          <w:szCs w:val="22"/>
          <w:lang w:val="fr-FR"/>
        </w:rPr>
        <w:t> » (il/elle) utilisés au singulier, entre autres. Lorsque vous utilisez « </w:t>
      </w:r>
      <w:proofErr w:type="spellStart"/>
      <w:r>
        <w:rPr>
          <w:rFonts w:ascii="Calibri" w:eastAsia="Calibri" w:hAnsi="Calibri" w:cs="Calibri"/>
          <w:sz w:val="22"/>
          <w:szCs w:val="22"/>
          <w:lang w:val="fr-FR"/>
        </w:rPr>
        <w:t>they</w:t>
      </w:r>
      <w:proofErr w:type="spellEnd"/>
      <w:r>
        <w:rPr>
          <w:rFonts w:ascii="Calibri" w:eastAsia="Calibri" w:hAnsi="Calibri" w:cs="Calibri"/>
          <w:sz w:val="22"/>
          <w:szCs w:val="22"/>
          <w:lang w:val="fr-FR"/>
        </w:rPr>
        <w:t> » au singulier, conjuguez toujours le verbe au pluriel, comme dans « </w:t>
      </w:r>
      <w:proofErr w:type="spellStart"/>
      <w:r>
        <w:rPr>
          <w:rFonts w:ascii="Calibri" w:eastAsia="Calibri" w:hAnsi="Calibri" w:cs="Calibri"/>
          <w:sz w:val="22"/>
          <w:szCs w:val="22"/>
          <w:lang w:val="fr-FR"/>
        </w:rPr>
        <w:t>they</w:t>
      </w:r>
      <w:proofErr w:type="spellEnd"/>
      <w:r>
        <w:rPr>
          <w:rFonts w:ascii="Calibri" w:eastAsia="Calibri" w:hAnsi="Calibri" w:cs="Calibri"/>
          <w:sz w:val="22"/>
          <w:szCs w:val="22"/>
          <w:lang w:val="fr-FR"/>
        </w:rPr>
        <w:t xml:space="preserve"> are </w:t>
      </w:r>
      <w:proofErr w:type="spellStart"/>
      <w:r>
        <w:rPr>
          <w:rFonts w:ascii="Calibri" w:eastAsia="Calibri" w:hAnsi="Calibri" w:cs="Calibri"/>
          <w:sz w:val="22"/>
          <w:szCs w:val="22"/>
          <w:lang w:val="fr-FR"/>
        </w:rPr>
        <w:t>gender</w:t>
      </w:r>
      <w:proofErr w:type="spellEnd"/>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nonbinary</w:t>
      </w:r>
      <w:proofErr w:type="spellEnd"/>
      <w:r>
        <w:rPr>
          <w:rFonts w:ascii="Calibri" w:eastAsia="Calibri" w:hAnsi="Calibri" w:cs="Calibri"/>
          <w:sz w:val="22"/>
          <w:szCs w:val="22"/>
          <w:lang w:val="fr-FR"/>
        </w:rPr>
        <w:t>. »</w:t>
      </w:r>
    </w:p>
    <w:p w14:paraId="30938B21"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Certaines personnes considèrent comme extrêmement offensant, voire violent, de </w:t>
      </w:r>
      <w:proofErr w:type="spellStart"/>
      <w:r>
        <w:rPr>
          <w:rFonts w:ascii="Calibri" w:eastAsia="Calibri" w:hAnsi="Calibri" w:cs="Calibri"/>
          <w:sz w:val="22"/>
          <w:szCs w:val="22"/>
          <w:lang w:val="fr-FR"/>
        </w:rPr>
        <w:t>mégenrer</w:t>
      </w:r>
      <w:proofErr w:type="spellEnd"/>
      <w:r>
        <w:rPr>
          <w:rFonts w:ascii="Calibri" w:eastAsia="Calibri" w:hAnsi="Calibri" w:cs="Calibri"/>
          <w:sz w:val="22"/>
          <w:szCs w:val="22"/>
          <w:lang w:val="fr-FR"/>
        </w:rPr>
        <w:t xml:space="preserve"> quelqu'un en utilisant des pronoms inappropriés. Lorsque vous écrivez au sujet d'une personne hypothétique, comme un participant anonyme à une étude qui inclut des personnes de tous les genres, utilisez le « </w:t>
      </w:r>
      <w:proofErr w:type="spellStart"/>
      <w:r>
        <w:rPr>
          <w:rFonts w:ascii="Calibri" w:eastAsia="Calibri" w:hAnsi="Calibri" w:cs="Calibri"/>
          <w:sz w:val="22"/>
          <w:szCs w:val="22"/>
          <w:lang w:val="fr-FR"/>
        </w:rPr>
        <w:t>they</w:t>
      </w:r>
      <w:proofErr w:type="spellEnd"/>
      <w:r>
        <w:rPr>
          <w:rFonts w:ascii="Calibri" w:eastAsia="Calibri" w:hAnsi="Calibri" w:cs="Calibri"/>
          <w:sz w:val="22"/>
          <w:szCs w:val="22"/>
          <w:lang w:val="fr-FR"/>
        </w:rPr>
        <w:t> » singulier plutôt que « il</w:t>
      </w:r>
      <w:proofErr w:type="gramStart"/>
      <w:r>
        <w:rPr>
          <w:rFonts w:ascii="Calibri" w:eastAsia="Calibri" w:hAnsi="Calibri" w:cs="Calibri"/>
          <w:sz w:val="22"/>
          <w:szCs w:val="22"/>
          <w:lang w:val="fr-FR"/>
        </w:rPr>
        <w:t> »ou</w:t>
      </w:r>
      <w:proofErr w:type="gramEnd"/>
      <w:r>
        <w:rPr>
          <w:rFonts w:ascii="Calibri" w:eastAsia="Calibri" w:hAnsi="Calibri" w:cs="Calibri"/>
          <w:sz w:val="22"/>
          <w:szCs w:val="22"/>
          <w:lang w:val="fr-FR"/>
        </w:rPr>
        <w:t xml:space="preserve"> « elle » dans un souci d’inclusion.</w:t>
      </w:r>
    </w:p>
    <w:p w14:paraId="274D39E5" w14:textId="77777777" w:rsidR="00772F17" w:rsidRPr="00D15745" w:rsidRDefault="00772F17" w:rsidP="00417223">
      <w:pPr>
        <w:pStyle w:val="Default"/>
        <w:spacing w:after="120" w:line="276" w:lineRule="auto"/>
        <w:rPr>
          <w:rFonts w:asciiTheme="minorHAnsi" w:hAnsiTheme="minorHAnsi" w:cstheme="minorHAnsi"/>
          <w:sz w:val="22"/>
          <w:szCs w:val="22"/>
          <w:lang w:val="fr-FR"/>
        </w:rPr>
      </w:pPr>
    </w:p>
    <w:p w14:paraId="58B2D5EA" w14:textId="77777777"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Identité et spécificité</w:t>
      </w:r>
    </w:p>
    <w:p w14:paraId="5FC55609" w14:textId="182A7353"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Dans certains contextes, il peut être approprié d'utiliser un langage qui fait explicitement référence aux comportements sexuels au lieu de faire référence aux orientations et identités sexuelles. Par exemple, une étude peut évaluer la capacité d'une modalité expérimentale à prévenir la transmission du VIH lors d'un rapport sexuel anal entre des personnes assignées homme à la naissance qui s'identifient comme des hommes. Même si une forte proportion de participants à l’étude sont susceptibles de s'identifier en tant qu’homosexuels ou bisexuels, d'autres peuvent ne pas s'identifier comme tels mais avoir néanmoins des relations anales avec d'autres hommes cisgenres. En d'autres termes, la spécificité médicale pour décrire le comportement doit être prise en compte en dehors de l'identité des individus en matière d’orientation sexuelle. Dans ce cas, une description précise des participants inscrits est « les hommes cisgenres ayant des rapports sexuels avec des hommes</w:t>
      </w:r>
      <w:r w:rsidR="00D150A6">
        <w:rPr>
          <w:rFonts w:ascii="Calibri" w:eastAsia="Calibri" w:hAnsi="Calibri" w:cs="Calibri"/>
          <w:sz w:val="22"/>
          <w:szCs w:val="22"/>
          <w:lang w:val="fr-FR"/>
        </w:rPr>
        <w:t xml:space="preserve"> </w:t>
      </w:r>
      <w:proofErr w:type="gramStart"/>
      <w:r w:rsidR="00D150A6">
        <w:rPr>
          <w:rFonts w:ascii="Calibri" w:eastAsia="Calibri" w:hAnsi="Calibri" w:cs="Calibri"/>
          <w:sz w:val="22"/>
          <w:szCs w:val="22"/>
          <w:lang w:val="fr-FR"/>
        </w:rPr>
        <w:t>cisgenres</w:t>
      </w:r>
      <w:r>
        <w:rPr>
          <w:rFonts w:ascii="Calibri" w:eastAsia="Calibri" w:hAnsi="Calibri" w:cs="Calibri"/>
          <w:sz w:val="22"/>
          <w:szCs w:val="22"/>
          <w:lang w:val="fr-FR"/>
        </w:rPr>
        <w:t>»</w:t>
      </w:r>
      <w:proofErr w:type="gramEnd"/>
      <w:r>
        <w:rPr>
          <w:rFonts w:ascii="Calibri" w:eastAsia="Calibri" w:hAnsi="Calibri" w:cs="Calibri"/>
          <w:sz w:val="22"/>
          <w:szCs w:val="22"/>
          <w:lang w:val="fr-FR"/>
        </w:rPr>
        <w:t>.</w:t>
      </w:r>
    </w:p>
    <w:p w14:paraId="308283EB" w14:textId="51D4B642" w:rsidR="00AA4320" w:rsidRPr="00D15745" w:rsidRDefault="007350F8" w:rsidP="00417223">
      <w:pPr>
        <w:spacing w:after="120" w:line="276" w:lineRule="auto"/>
        <w:rPr>
          <w:rFonts w:cstheme="minorHAnsi"/>
          <w:color w:val="000000"/>
          <w:lang w:val="fr-FR"/>
        </w:rPr>
      </w:pPr>
      <w:r>
        <w:rPr>
          <w:rFonts w:ascii="Calibri" w:eastAsia="Calibri" w:hAnsi="Calibri" w:cs="Calibri"/>
          <w:lang w:val="fr-FR"/>
        </w:rPr>
        <w:t xml:space="preserve">Dans d'autres contextes, il peut être approprié de mettre l'accent sur l'orientation sexuelle. L'utilisation de ce vocabulaire permet de valoriser les contributions de ces communautés ou d'établir un lien avec les personnes sur le plan identitaire. Par exemple, il est </w:t>
      </w:r>
      <w:r>
        <w:rPr>
          <w:rFonts w:ascii="Calibri" w:eastAsia="Calibri" w:hAnsi="Calibri" w:cs="Calibri"/>
          <w:color w:val="000000"/>
          <w:lang w:val="fr-FR"/>
        </w:rPr>
        <w:t>possible de dire :</w:t>
      </w:r>
      <w:proofErr w:type="gramStart"/>
      <w:r>
        <w:rPr>
          <w:rFonts w:ascii="Calibri" w:eastAsia="Calibri" w:hAnsi="Calibri" w:cs="Calibri"/>
          <w:color w:val="000000"/>
          <w:lang w:val="fr-FR"/>
        </w:rPr>
        <w:t xml:space="preserve"> «</w:t>
      </w:r>
      <w:r w:rsidR="00DE0363">
        <w:rPr>
          <w:rFonts w:ascii="Calibri" w:eastAsia="Calibri" w:hAnsi="Calibri" w:cs="Calibri"/>
          <w:color w:val="000000"/>
          <w:lang w:val="fr-FR"/>
        </w:rPr>
        <w:t>Aux</w:t>
      </w:r>
      <w:proofErr w:type="gramEnd"/>
      <w:r w:rsidR="00DE0363">
        <w:rPr>
          <w:rFonts w:ascii="Calibri" w:eastAsia="Calibri" w:hAnsi="Calibri" w:cs="Calibri"/>
          <w:color w:val="000000"/>
          <w:lang w:val="fr-FR"/>
        </w:rPr>
        <w:t xml:space="preserve"> USA dans les années 1980, </w:t>
      </w:r>
      <w:r>
        <w:rPr>
          <w:rFonts w:ascii="Calibri" w:eastAsia="Calibri" w:hAnsi="Calibri" w:cs="Calibri"/>
          <w:color w:val="000000"/>
          <w:lang w:val="fr-FR"/>
        </w:rPr>
        <w:t> </w:t>
      </w:r>
      <w:r w:rsidR="00DE0363">
        <w:rPr>
          <w:rFonts w:ascii="Calibri" w:eastAsia="Calibri" w:hAnsi="Calibri" w:cs="Calibri"/>
          <w:color w:val="000000"/>
          <w:lang w:val="fr-FR"/>
        </w:rPr>
        <w:t>l</w:t>
      </w:r>
      <w:r>
        <w:rPr>
          <w:rFonts w:ascii="Calibri" w:eastAsia="Calibri" w:hAnsi="Calibri" w:cs="Calibri"/>
          <w:color w:val="000000"/>
          <w:lang w:val="fr-FR"/>
        </w:rPr>
        <w:t xml:space="preserve">es premiers cas de sida ont été signalés chez de jeunes hommes homosexuels », ou « Le groupe de défense vise à accroître l'utilisation de la </w:t>
      </w:r>
      <w:proofErr w:type="spellStart"/>
      <w:r>
        <w:rPr>
          <w:rFonts w:ascii="Calibri" w:eastAsia="Calibri" w:hAnsi="Calibri" w:cs="Calibri"/>
          <w:color w:val="000000"/>
          <w:lang w:val="fr-FR"/>
        </w:rPr>
        <w:t>PrE</w:t>
      </w:r>
      <w:r w:rsidR="00DB7AA6">
        <w:rPr>
          <w:rFonts w:ascii="Calibri" w:eastAsia="Calibri" w:hAnsi="Calibri" w:cs="Calibri"/>
          <w:color w:val="000000"/>
          <w:lang w:val="fr-FR"/>
        </w:rPr>
        <w:t>P</w:t>
      </w:r>
      <w:proofErr w:type="spellEnd"/>
      <w:r>
        <w:rPr>
          <w:rFonts w:ascii="Calibri" w:eastAsia="Calibri" w:hAnsi="Calibri" w:cs="Calibri"/>
          <w:color w:val="000000"/>
          <w:lang w:val="fr-FR"/>
        </w:rPr>
        <w:t xml:space="preserve"> chez les hommes homosexuels et bisexuels de couleur ». Toutes les expériences scientifiques se déroulent dans un contexte culturel qui doit être pris en compte lors de l’élaboration de documents à destination du grand public.</w:t>
      </w:r>
    </w:p>
    <w:p w14:paraId="1A0B9063" w14:textId="77777777" w:rsidR="00772F17" w:rsidRPr="00D15745" w:rsidRDefault="00772F17" w:rsidP="00417223">
      <w:pPr>
        <w:spacing w:after="120" w:line="276" w:lineRule="auto"/>
        <w:rPr>
          <w:rFonts w:cstheme="minorHAnsi"/>
          <w:color w:val="000000"/>
          <w:lang w:val="fr-FR"/>
        </w:rPr>
      </w:pPr>
    </w:p>
    <w:p w14:paraId="48AEDA6A" w14:textId="77777777" w:rsidR="00AA4320" w:rsidRPr="00D15745" w:rsidRDefault="007350F8" w:rsidP="00417223">
      <w:pPr>
        <w:autoSpaceDE w:val="0"/>
        <w:autoSpaceDN w:val="0"/>
        <w:adjustRightInd w:val="0"/>
        <w:spacing w:after="120" w:line="276" w:lineRule="auto"/>
        <w:rPr>
          <w:rFonts w:cstheme="minorHAnsi"/>
          <w:b/>
          <w:color w:val="2E74B5"/>
          <w:sz w:val="28"/>
          <w:szCs w:val="28"/>
          <w:lang w:val="fr-FR"/>
        </w:rPr>
      </w:pPr>
      <w:r>
        <w:rPr>
          <w:rFonts w:ascii="Calibri" w:eastAsia="Calibri" w:hAnsi="Calibri" w:cs="Calibri"/>
          <w:b/>
          <w:bCs/>
          <w:color w:val="2E74B5"/>
          <w:sz w:val="28"/>
          <w:szCs w:val="28"/>
          <w:lang w:val="fr-FR"/>
        </w:rPr>
        <w:t>Relations</w:t>
      </w:r>
    </w:p>
    <w:p w14:paraId="76FDF40A" w14:textId="77777777" w:rsidR="00AA4320" w:rsidRPr="00D15745" w:rsidRDefault="007350F8" w:rsidP="00417223">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Évitez les termes qui présupposent la nature d'une relation donnée. Par exemple, n'oubliez pas que tous les partenaires </w:t>
      </w:r>
      <w:r w:rsidRPr="000A3DBB">
        <w:rPr>
          <w:rFonts w:ascii="Calibri" w:eastAsia="Calibri" w:hAnsi="Calibri" w:cs="Calibri"/>
          <w:color w:val="000000"/>
          <w:lang w:val="fr-FR"/>
        </w:rPr>
        <w:t>sexuels</w:t>
      </w:r>
      <w:r>
        <w:rPr>
          <w:rFonts w:ascii="Calibri" w:eastAsia="Calibri" w:hAnsi="Calibri" w:cs="Calibri"/>
          <w:color w:val="000000"/>
          <w:lang w:val="fr-FR"/>
        </w:rPr>
        <w:t xml:space="preserve"> ne sont pas impliqués dans une relation amoureuse, ce qui peut être sous-entendu par un terme comme « couple ». De même, ne supposez pas que les partenaires sexuels sont monogames ou n'apprécient pas la monogamie. Utilisez la terminologie préconisée par les personnes décrites lorsque cela est possible, ou utilisez simplement le terme neutre « </w:t>
      </w:r>
      <w:r w:rsidRPr="000A3DBB">
        <w:rPr>
          <w:rFonts w:ascii="Calibri" w:eastAsia="Calibri" w:hAnsi="Calibri" w:cs="Calibri"/>
          <w:color w:val="000000"/>
          <w:lang w:val="fr-FR"/>
        </w:rPr>
        <w:t>partenaire(s) sexuel(s)</w:t>
      </w:r>
      <w:r>
        <w:rPr>
          <w:rFonts w:ascii="Calibri" w:eastAsia="Calibri" w:hAnsi="Calibri" w:cs="Calibri"/>
          <w:color w:val="000000"/>
          <w:lang w:val="fr-FR"/>
        </w:rPr>
        <w:t> ».</w:t>
      </w:r>
    </w:p>
    <w:p w14:paraId="0788142E" w14:textId="77777777" w:rsidR="00772F17" w:rsidRPr="00D15745" w:rsidRDefault="00772F17" w:rsidP="00417223">
      <w:pPr>
        <w:autoSpaceDE w:val="0"/>
        <w:autoSpaceDN w:val="0"/>
        <w:adjustRightInd w:val="0"/>
        <w:spacing w:after="120" w:line="276" w:lineRule="auto"/>
        <w:rPr>
          <w:rFonts w:cstheme="minorHAnsi"/>
          <w:color w:val="000000"/>
          <w:lang w:val="fr-FR"/>
        </w:rPr>
      </w:pPr>
    </w:p>
    <w:p w14:paraId="0A7AD599" w14:textId="77777777" w:rsidR="00AA4320" w:rsidRPr="00D15745" w:rsidRDefault="007350F8" w:rsidP="00417223">
      <w:pPr>
        <w:autoSpaceDE w:val="0"/>
        <w:autoSpaceDN w:val="0"/>
        <w:adjustRightInd w:val="0"/>
        <w:spacing w:after="120" w:line="276" w:lineRule="auto"/>
        <w:rPr>
          <w:rFonts w:cstheme="minorHAnsi"/>
          <w:b/>
          <w:color w:val="2E74B5"/>
          <w:sz w:val="28"/>
          <w:szCs w:val="28"/>
          <w:lang w:val="fr-FR"/>
        </w:rPr>
      </w:pPr>
      <w:r>
        <w:rPr>
          <w:rFonts w:ascii="Calibri" w:eastAsia="Calibri" w:hAnsi="Calibri" w:cs="Calibri"/>
          <w:b/>
          <w:bCs/>
          <w:color w:val="2E74B5"/>
          <w:sz w:val="28"/>
          <w:szCs w:val="28"/>
          <w:lang w:val="fr-FR"/>
        </w:rPr>
        <w:t>Grossesse et famille</w:t>
      </w:r>
    </w:p>
    <w:p w14:paraId="2560FA7E" w14:textId="77777777" w:rsidR="00772F17" w:rsidRPr="00D15745" w:rsidRDefault="007350F8" w:rsidP="00417223">
      <w:pPr>
        <w:spacing w:after="120" w:line="276" w:lineRule="auto"/>
        <w:rPr>
          <w:rFonts w:cstheme="minorHAnsi"/>
          <w:color w:val="000000"/>
          <w:lang w:val="fr-FR"/>
        </w:rPr>
      </w:pPr>
      <w:r>
        <w:rPr>
          <w:rFonts w:ascii="Calibri" w:eastAsia="Calibri" w:hAnsi="Calibri" w:cs="Calibri"/>
          <w:color w:val="000000"/>
          <w:lang w:val="fr-FR"/>
        </w:rPr>
        <w:lastRenderedPageBreak/>
        <w:t xml:space="preserve">Ne supposez pas une dynamique familiale donnée ou une relation parent-enfant. N'oubliez pas que les enfants sont </w:t>
      </w:r>
      <w:r w:rsidRPr="000A3DBB">
        <w:rPr>
          <w:rFonts w:ascii="Calibri" w:eastAsia="Calibri" w:hAnsi="Calibri" w:cs="Calibri"/>
          <w:color w:val="000000"/>
          <w:lang w:val="fr-FR"/>
        </w:rPr>
        <w:t>élevés</w:t>
      </w:r>
      <w:r>
        <w:rPr>
          <w:rFonts w:ascii="Calibri" w:eastAsia="Calibri" w:hAnsi="Calibri" w:cs="Calibri"/>
          <w:color w:val="000000"/>
          <w:lang w:val="fr-FR"/>
        </w:rPr>
        <w:t xml:space="preserve"> par leurs mères et/ou pères biologiques, ainsi que par des </w:t>
      </w:r>
      <w:r w:rsidRPr="000A3DBB">
        <w:rPr>
          <w:rFonts w:ascii="Calibri" w:eastAsia="Calibri" w:hAnsi="Calibri" w:cs="Calibri"/>
          <w:color w:val="000000"/>
          <w:lang w:val="fr-FR"/>
        </w:rPr>
        <w:t>parents adoptifs</w:t>
      </w:r>
      <w:r>
        <w:rPr>
          <w:rFonts w:ascii="Calibri" w:eastAsia="Calibri" w:hAnsi="Calibri" w:cs="Calibri"/>
          <w:color w:val="000000"/>
          <w:lang w:val="fr-FR"/>
        </w:rPr>
        <w:t xml:space="preserve"> et d’autres </w:t>
      </w:r>
      <w:r w:rsidRPr="000A3DBB">
        <w:rPr>
          <w:rFonts w:ascii="Calibri" w:eastAsia="Calibri" w:hAnsi="Calibri" w:cs="Calibri"/>
          <w:color w:val="000000"/>
          <w:lang w:val="fr-FR"/>
        </w:rPr>
        <w:t>tuteurs</w:t>
      </w:r>
      <w:r>
        <w:rPr>
          <w:rFonts w:ascii="Calibri" w:eastAsia="Calibri" w:hAnsi="Calibri" w:cs="Calibri"/>
          <w:color w:val="000000"/>
          <w:lang w:val="fr-FR"/>
        </w:rPr>
        <w:t>. Souvent, le vocabulaire de la grossesse, de l'éducation des enfants et de la famille peut renforcer les stéréotypes de genre, notamment vis-à-vis des femmes. Évitez les termes qui laissent entendre que la garde des enfants ou les soins apportés à un enfant relèvent de la seule responsabilité des mères. De même, évitez les termes qui présentent les femmes enceintes ou allaitantes comme de simples porteuses d’un enfant.</w:t>
      </w:r>
    </w:p>
    <w:p w14:paraId="14767830" w14:textId="77777777" w:rsidR="00772F17" w:rsidRPr="00D15745" w:rsidRDefault="00772F17" w:rsidP="00417223">
      <w:pPr>
        <w:spacing w:after="120" w:line="276" w:lineRule="auto"/>
        <w:rPr>
          <w:rFonts w:cstheme="minorHAnsi"/>
          <w:color w:val="000000"/>
          <w:lang w:val="fr-FR"/>
        </w:rPr>
        <w:sectPr w:rsidR="00772F17" w:rsidRPr="00D15745" w:rsidSect="002229B4">
          <w:headerReference w:type="default" r:id="rId40"/>
          <w:pgSz w:w="12240" w:h="15840"/>
          <w:pgMar w:top="1440" w:right="1440" w:bottom="1440" w:left="1440" w:header="720" w:footer="720" w:gutter="0"/>
          <w:cols w:space="720"/>
          <w:docGrid w:linePitch="360"/>
        </w:sectPr>
      </w:pPr>
    </w:p>
    <w:p w14:paraId="1FED76B2" w14:textId="0C6EC683" w:rsidR="00AA4320" w:rsidRPr="00727EC8" w:rsidRDefault="007350F8" w:rsidP="00821716">
      <w:pPr>
        <w:pStyle w:val="Heading1"/>
      </w:pPr>
      <w:bookmarkStart w:id="7" w:name="_Toc39003306"/>
      <w:r>
        <w:rPr>
          <w:rFonts w:ascii="Calibri" w:eastAsia="Calibri" w:hAnsi="Calibri" w:cs="Calibri"/>
          <w:bCs/>
          <w:lang w:val="fr-FR"/>
        </w:rPr>
        <w:lastRenderedPageBreak/>
        <w:t>Consommation de substances</w:t>
      </w:r>
      <w:bookmarkEnd w:id="7"/>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896FB7" w14:paraId="1A995BDB" w14:textId="77777777" w:rsidTr="00921BF8">
        <w:trPr>
          <w:tblHeader/>
        </w:trPr>
        <w:tc>
          <w:tcPr>
            <w:tcW w:w="1667" w:type="pct"/>
            <w:tcBorders>
              <w:top w:val="nil"/>
              <w:left w:val="nil"/>
              <w:bottom w:val="single" w:sz="18" w:space="0" w:color="C9C9C9"/>
            </w:tcBorders>
          </w:tcPr>
          <w:p w14:paraId="73EF5969" w14:textId="77777777" w:rsidR="00AA4320" w:rsidRPr="00727EC8" w:rsidRDefault="007350F8" w:rsidP="00921BF8">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fr-FR"/>
              </w:rPr>
              <w:t>Essayez plutôt ceci…</w:t>
            </w:r>
          </w:p>
        </w:tc>
        <w:tc>
          <w:tcPr>
            <w:tcW w:w="1667" w:type="pct"/>
            <w:tcBorders>
              <w:top w:val="nil"/>
              <w:bottom w:val="single" w:sz="18" w:space="0" w:color="C9C9C9"/>
            </w:tcBorders>
          </w:tcPr>
          <w:p w14:paraId="40460DAD" w14:textId="77777777" w:rsidR="00AA4320" w:rsidRPr="00727EC8" w:rsidRDefault="007350F8" w:rsidP="00921BF8">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fr-FR"/>
              </w:rPr>
              <w:t>Au lieu de cela…</w:t>
            </w:r>
          </w:p>
        </w:tc>
        <w:tc>
          <w:tcPr>
            <w:tcW w:w="1666" w:type="pct"/>
            <w:tcBorders>
              <w:top w:val="nil"/>
              <w:bottom w:val="single" w:sz="18" w:space="0" w:color="C9C9C9"/>
              <w:right w:val="nil"/>
            </w:tcBorders>
          </w:tcPr>
          <w:p w14:paraId="5A877B7D" w14:textId="77777777" w:rsidR="00AA4320" w:rsidRPr="00727EC8" w:rsidRDefault="007350F8" w:rsidP="00921BF8">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fr-FR"/>
              </w:rPr>
              <w:t>Parce que...</w:t>
            </w:r>
          </w:p>
        </w:tc>
      </w:tr>
      <w:tr w:rsidR="00896FB7" w:rsidRPr="00EE1EE3" w14:paraId="34072327" w14:textId="77777777" w:rsidTr="00921BF8">
        <w:tc>
          <w:tcPr>
            <w:tcW w:w="1667" w:type="pct"/>
            <w:tcBorders>
              <w:top w:val="single" w:sz="18" w:space="0" w:color="C9C9C9"/>
            </w:tcBorders>
            <w:shd w:val="clear" w:color="auto" w:fill="EDEDED"/>
          </w:tcPr>
          <w:p w14:paraId="08659430" w14:textId="6860DB4A" w:rsidR="00BF7539" w:rsidRPr="00D15745" w:rsidRDefault="007350F8" w:rsidP="00921BF8">
            <w:pPr>
              <w:pStyle w:val="Default"/>
              <w:spacing w:line="276" w:lineRule="auto"/>
              <w:rPr>
                <w:rFonts w:asciiTheme="minorHAnsi" w:hAnsiTheme="minorHAnsi" w:cstheme="minorHAnsi"/>
                <w:b/>
                <w:bCs/>
                <w:sz w:val="22"/>
                <w:szCs w:val="22"/>
                <w:lang w:val="fr-FR"/>
              </w:rPr>
            </w:pPr>
            <w:proofErr w:type="gramStart"/>
            <w:r>
              <w:rPr>
                <w:rFonts w:ascii="Calibri" w:eastAsia="Calibri" w:hAnsi="Calibri" w:cs="Calibri"/>
                <w:b/>
                <w:bCs/>
                <w:sz w:val="22"/>
                <w:szCs w:val="22"/>
                <w:lang w:val="fr-FR"/>
              </w:rPr>
              <w:t>seringues</w:t>
            </w:r>
            <w:proofErr w:type="gramEnd"/>
            <w:r>
              <w:rPr>
                <w:rFonts w:ascii="Calibri" w:eastAsia="Calibri" w:hAnsi="Calibri" w:cs="Calibri"/>
                <w:b/>
                <w:bCs/>
                <w:sz w:val="22"/>
                <w:szCs w:val="22"/>
                <w:lang w:val="fr-FR"/>
              </w:rPr>
              <w:t xml:space="preserve"> (et accessoires) </w:t>
            </w:r>
            <w:r w:rsidR="00B23CC3">
              <w:rPr>
                <w:rFonts w:ascii="Calibri" w:eastAsia="Calibri" w:hAnsi="Calibri" w:cs="Calibri"/>
                <w:b/>
                <w:bCs/>
                <w:sz w:val="22"/>
                <w:szCs w:val="22"/>
                <w:lang w:val="fr-FR"/>
              </w:rPr>
              <w:t>neuves/neufs</w:t>
            </w:r>
          </w:p>
          <w:p w14:paraId="3BF2AEAF" w14:textId="0E2B561D" w:rsidR="00BF7539"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seringues</w:t>
            </w:r>
            <w:proofErr w:type="gramEnd"/>
            <w:r>
              <w:rPr>
                <w:rFonts w:ascii="Calibri" w:eastAsia="Calibri" w:hAnsi="Calibri" w:cs="Calibri"/>
                <w:b/>
                <w:bCs/>
                <w:sz w:val="22"/>
                <w:szCs w:val="22"/>
                <w:lang w:val="fr-FR"/>
              </w:rPr>
              <w:t xml:space="preserve"> (et accessoires) non </w:t>
            </w:r>
            <w:proofErr w:type="spellStart"/>
            <w:r>
              <w:rPr>
                <w:rFonts w:ascii="Calibri" w:eastAsia="Calibri" w:hAnsi="Calibri" w:cs="Calibri"/>
                <w:b/>
                <w:bCs/>
                <w:sz w:val="22"/>
                <w:szCs w:val="22"/>
                <w:lang w:val="fr-FR"/>
              </w:rPr>
              <w:t>usagé</w:t>
            </w:r>
            <w:r w:rsidR="00B23CC3">
              <w:rPr>
                <w:rFonts w:ascii="Calibri" w:eastAsia="Calibri" w:hAnsi="Calibri" w:cs="Calibri"/>
                <w:b/>
                <w:bCs/>
                <w:sz w:val="22"/>
                <w:szCs w:val="22"/>
                <w:lang w:val="fr-FR"/>
              </w:rPr>
              <w:t>·</w:t>
            </w:r>
            <w:r w:rsidR="007E6B70">
              <w:rPr>
                <w:rFonts w:ascii="Calibri" w:eastAsia="Calibri" w:hAnsi="Calibri" w:cs="Calibri"/>
                <w:b/>
                <w:bCs/>
                <w:sz w:val="22"/>
                <w:szCs w:val="22"/>
                <w:lang w:val="fr-FR"/>
              </w:rPr>
              <w:t>e</w:t>
            </w:r>
            <w:r w:rsidR="00B23CC3">
              <w:rPr>
                <w:rFonts w:ascii="Calibri" w:eastAsia="Calibri" w:hAnsi="Calibri" w:cs="Calibri"/>
                <w:b/>
                <w:bCs/>
                <w:sz w:val="22"/>
                <w:szCs w:val="22"/>
                <w:lang w:val="fr-FR"/>
              </w:rPr>
              <w:t>·</w:t>
            </w:r>
            <w:r>
              <w:rPr>
                <w:rFonts w:ascii="Calibri" w:eastAsia="Calibri" w:hAnsi="Calibri" w:cs="Calibri"/>
                <w:b/>
                <w:bCs/>
                <w:sz w:val="22"/>
                <w:szCs w:val="22"/>
                <w:lang w:val="fr-FR"/>
              </w:rPr>
              <w:t>s</w:t>
            </w:r>
            <w:proofErr w:type="spellEnd"/>
          </w:p>
          <w:p w14:paraId="682440B8" w14:textId="77777777" w:rsidR="00BF7539" w:rsidRPr="00727EC8" w:rsidRDefault="007350F8" w:rsidP="00921BF8">
            <w:pPr>
              <w:pStyle w:val="Default"/>
              <w:spacing w:after="120"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seringues</w:t>
            </w:r>
            <w:proofErr w:type="gramEnd"/>
            <w:r>
              <w:rPr>
                <w:rFonts w:ascii="Calibri" w:eastAsia="Calibri" w:hAnsi="Calibri" w:cs="Calibri"/>
                <w:b/>
                <w:bCs/>
                <w:sz w:val="22"/>
                <w:szCs w:val="22"/>
                <w:lang w:val="fr-FR"/>
              </w:rPr>
              <w:t xml:space="preserve"> (et accessoires) stériles</w:t>
            </w:r>
          </w:p>
        </w:tc>
        <w:tc>
          <w:tcPr>
            <w:tcW w:w="1667" w:type="pct"/>
            <w:tcBorders>
              <w:top w:val="single" w:sz="18" w:space="0" w:color="C9C9C9"/>
            </w:tcBorders>
            <w:shd w:val="clear" w:color="auto" w:fill="EDEDED"/>
          </w:tcPr>
          <w:p w14:paraId="51D3C82E" w14:textId="77777777" w:rsidR="00BF7539" w:rsidRPr="00727EC8" w:rsidRDefault="007350F8" w:rsidP="00921BF8">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seringues</w:t>
            </w:r>
            <w:proofErr w:type="gramEnd"/>
            <w:r>
              <w:rPr>
                <w:rFonts w:ascii="Calibri" w:eastAsia="Calibri" w:hAnsi="Calibri" w:cs="Calibri"/>
                <w:sz w:val="22"/>
                <w:szCs w:val="22"/>
                <w:lang w:val="fr-FR"/>
              </w:rPr>
              <w:t xml:space="preserve"> propres</w:t>
            </w:r>
          </w:p>
        </w:tc>
        <w:tc>
          <w:tcPr>
            <w:tcW w:w="1666" w:type="pct"/>
            <w:vMerge w:val="restart"/>
            <w:tcBorders>
              <w:top w:val="single" w:sz="18" w:space="0" w:color="C9C9C9"/>
            </w:tcBorders>
            <w:shd w:val="clear" w:color="auto" w:fill="EDEDED"/>
          </w:tcPr>
          <w:p w14:paraId="44B377C9" w14:textId="77777777" w:rsidR="00BF7539" w:rsidRPr="00D15745" w:rsidRDefault="007350F8" w:rsidP="00921BF8">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Propre » et « sale/contaminé » évoquent des jugements de valeur inutiles, ainsi que des hypothèses visuelles spécifiques qui peuvent ne pas être exactes. Les termes préconisés sont plus clairs et plus précis. Le terme « aiguilles » peut également être utilisé avec les communautés plus enclines à utiliser cette terminologie.</w:t>
            </w:r>
          </w:p>
        </w:tc>
      </w:tr>
      <w:tr w:rsidR="00896FB7" w14:paraId="5C931F69" w14:textId="77777777" w:rsidTr="00921BF8">
        <w:tc>
          <w:tcPr>
            <w:tcW w:w="1667" w:type="pct"/>
            <w:shd w:val="clear" w:color="auto" w:fill="EDEDED"/>
          </w:tcPr>
          <w:p w14:paraId="10DC4D70" w14:textId="77777777" w:rsidR="00BF7539" w:rsidRPr="00727EC8" w:rsidRDefault="007350F8" w:rsidP="00921BF8">
            <w:pPr>
              <w:pStyle w:val="Default"/>
              <w:spacing w:after="120" w:line="276" w:lineRule="auto"/>
              <w:rPr>
                <w:rFonts w:asciiTheme="minorHAnsi" w:hAnsiTheme="minorHAnsi" w:cstheme="minorHAnsi"/>
                <w:b/>
                <w:bCs/>
                <w:sz w:val="22"/>
                <w:szCs w:val="22"/>
              </w:rPr>
            </w:pPr>
            <w:proofErr w:type="gramStart"/>
            <w:r>
              <w:rPr>
                <w:rFonts w:ascii="Calibri" w:eastAsia="Calibri" w:hAnsi="Calibri" w:cs="Calibri"/>
                <w:b/>
                <w:bCs/>
                <w:sz w:val="22"/>
                <w:szCs w:val="22"/>
                <w:lang w:val="fr-FR"/>
              </w:rPr>
              <w:t>seringues</w:t>
            </w:r>
            <w:proofErr w:type="gramEnd"/>
            <w:r>
              <w:rPr>
                <w:rFonts w:ascii="Calibri" w:eastAsia="Calibri" w:hAnsi="Calibri" w:cs="Calibri"/>
                <w:b/>
                <w:bCs/>
                <w:sz w:val="22"/>
                <w:szCs w:val="22"/>
                <w:lang w:val="fr-FR"/>
              </w:rPr>
              <w:t xml:space="preserve"> (et accessoires) usagés</w:t>
            </w:r>
          </w:p>
        </w:tc>
        <w:tc>
          <w:tcPr>
            <w:tcW w:w="1667" w:type="pct"/>
            <w:shd w:val="clear" w:color="auto" w:fill="EDEDED"/>
          </w:tcPr>
          <w:p w14:paraId="6E9372FD" w14:textId="77777777" w:rsidR="00BF7539" w:rsidRPr="00727EC8" w:rsidRDefault="007350F8" w:rsidP="00921BF8">
            <w:pPr>
              <w:pStyle w:val="Default"/>
              <w:spacing w:line="276" w:lineRule="auto"/>
              <w:rPr>
                <w:rFonts w:asciiTheme="minorHAnsi" w:hAnsiTheme="minorHAnsi" w:cstheme="minorHAnsi"/>
                <w:sz w:val="22"/>
                <w:szCs w:val="22"/>
              </w:rPr>
            </w:pPr>
            <w:proofErr w:type="gramStart"/>
            <w:r>
              <w:rPr>
                <w:rFonts w:ascii="Calibri" w:eastAsia="Calibri" w:hAnsi="Calibri" w:cs="Calibri"/>
                <w:sz w:val="22"/>
                <w:szCs w:val="22"/>
                <w:lang w:val="fr-FR"/>
              </w:rPr>
              <w:t>seringues</w:t>
            </w:r>
            <w:proofErr w:type="gramEnd"/>
            <w:r>
              <w:rPr>
                <w:rFonts w:ascii="Calibri" w:eastAsia="Calibri" w:hAnsi="Calibri" w:cs="Calibri"/>
                <w:sz w:val="22"/>
                <w:szCs w:val="22"/>
                <w:lang w:val="fr-FR"/>
              </w:rPr>
              <w:t xml:space="preserve"> souillées</w:t>
            </w:r>
          </w:p>
          <w:p w14:paraId="29AF41AF" w14:textId="77777777" w:rsidR="00BF7539" w:rsidRPr="00727EC8" w:rsidRDefault="007350F8" w:rsidP="00921BF8">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seringues</w:t>
            </w:r>
            <w:proofErr w:type="gramEnd"/>
            <w:r>
              <w:rPr>
                <w:rFonts w:ascii="Calibri" w:eastAsia="Calibri" w:hAnsi="Calibri" w:cs="Calibri"/>
                <w:sz w:val="22"/>
                <w:szCs w:val="22"/>
                <w:lang w:val="fr-FR"/>
              </w:rPr>
              <w:t xml:space="preserve"> contaminées</w:t>
            </w:r>
          </w:p>
        </w:tc>
        <w:tc>
          <w:tcPr>
            <w:tcW w:w="1666" w:type="pct"/>
            <w:vMerge/>
            <w:shd w:val="clear" w:color="auto" w:fill="EDEDED"/>
          </w:tcPr>
          <w:p w14:paraId="43778E19" w14:textId="77777777" w:rsidR="00BF7539" w:rsidRPr="00727EC8" w:rsidRDefault="00BF7539" w:rsidP="00921BF8">
            <w:pPr>
              <w:pStyle w:val="Default"/>
              <w:spacing w:after="120" w:line="276" w:lineRule="auto"/>
              <w:rPr>
                <w:rFonts w:asciiTheme="minorHAnsi" w:hAnsiTheme="minorHAnsi" w:cstheme="minorHAnsi"/>
                <w:sz w:val="22"/>
                <w:szCs w:val="22"/>
              </w:rPr>
            </w:pPr>
          </w:p>
        </w:tc>
      </w:tr>
      <w:tr w:rsidR="00896FB7" w:rsidRPr="00EE1EE3" w14:paraId="64CEDB6E" w14:textId="77777777" w:rsidTr="00921BF8">
        <w:tc>
          <w:tcPr>
            <w:tcW w:w="1667" w:type="pct"/>
          </w:tcPr>
          <w:p w14:paraId="1328E02E" w14:textId="5E2C8BBC" w:rsidR="00A454B0"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personne</w:t>
            </w:r>
            <w:proofErr w:type="gramEnd"/>
            <w:r>
              <w:rPr>
                <w:rFonts w:ascii="Calibri" w:eastAsia="Calibri" w:hAnsi="Calibri" w:cs="Calibri"/>
                <w:b/>
                <w:bCs/>
                <w:sz w:val="22"/>
                <w:szCs w:val="22"/>
                <w:lang w:val="fr-FR"/>
              </w:rPr>
              <w:t xml:space="preserve"> qui s'injecte </w:t>
            </w:r>
            <w:r w:rsidR="00330501">
              <w:rPr>
                <w:rFonts w:ascii="Calibri" w:eastAsia="Calibri" w:hAnsi="Calibri" w:cs="Calibri"/>
                <w:b/>
                <w:bCs/>
                <w:sz w:val="22"/>
                <w:szCs w:val="22"/>
                <w:lang w:val="fr-FR"/>
              </w:rPr>
              <w:t>une substance psychoactive</w:t>
            </w:r>
          </w:p>
          <w:p w14:paraId="222D00CE" w14:textId="6DF99D43" w:rsidR="00A454B0"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personne</w:t>
            </w:r>
            <w:proofErr w:type="gramEnd"/>
            <w:r>
              <w:rPr>
                <w:rFonts w:ascii="Calibri" w:eastAsia="Calibri" w:hAnsi="Calibri" w:cs="Calibri"/>
                <w:b/>
                <w:bCs/>
                <w:sz w:val="22"/>
                <w:szCs w:val="22"/>
                <w:lang w:val="fr-FR"/>
              </w:rPr>
              <w:t xml:space="preserve"> qui consomme </w:t>
            </w:r>
            <w:r w:rsidR="007E6B70">
              <w:rPr>
                <w:rFonts w:ascii="Calibri" w:eastAsia="Calibri" w:hAnsi="Calibri" w:cs="Calibri"/>
                <w:b/>
                <w:bCs/>
                <w:sz w:val="22"/>
                <w:szCs w:val="22"/>
                <w:lang w:val="fr-FR"/>
              </w:rPr>
              <w:t>des substances</w:t>
            </w:r>
          </w:p>
          <w:p w14:paraId="3384AC3D" w14:textId="77777777" w:rsidR="00A454B0" w:rsidRPr="00D15745" w:rsidRDefault="007350F8" w:rsidP="00921BF8">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personne</w:t>
            </w:r>
            <w:proofErr w:type="gramEnd"/>
            <w:r>
              <w:rPr>
                <w:rFonts w:ascii="Calibri" w:eastAsia="Calibri" w:hAnsi="Calibri" w:cs="Calibri"/>
                <w:b/>
                <w:bCs/>
                <w:sz w:val="22"/>
                <w:szCs w:val="22"/>
                <w:lang w:val="fr-FR"/>
              </w:rPr>
              <w:t xml:space="preserve"> souffrant de troubles liés à la consommation de substances</w:t>
            </w:r>
          </w:p>
        </w:tc>
        <w:tc>
          <w:tcPr>
            <w:tcW w:w="1667" w:type="pct"/>
          </w:tcPr>
          <w:p w14:paraId="03D06BFE" w14:textId="77777777" w:rsidR="00A454B0" w:rsidRPr="00727EC8"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utilisateur</w:t>
            </w:r>
            <w:proofErr w:type="gramEnd"/>
            <w:r>
              <w:rPr>
                <w:rFonts w:ascii="Calibri" w:eastAsia="Calibri" w:hAnsi="Calibri" w:cs="Calibri"/>
                <w:sz w:val="22"/>
                <w:szCs w:val="22"/>
                <w:lang w:val="fr-FR"/>
              </w:rPr>
              <w:t xml:space="preserve"> de drogues injectables (UDI)</w:t>
            </w:r>
          </w:p>
          <w:p w14:paraId="6DCB9BDA" w14:textId="77777777" w:rsidR="00A454B0" w:rsidRPr="00727EC8"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consommateur</w:t>
            </w:r>
            <w:proofErr w:type="gramEnd"/>
            <w:r>
              <w:rPr>
                <w:rFonts w:ascii="Calibri" w:eastAsia="Calibri" w:hAnsi="Calibri" w:cs="Calibri"/>
                <w:sz w:val="22"/>
                <w:szCs w:val="22"/>
                <w:lang w:val="fr-FR"/>
              </w:rPr>
              <w:t xml:space="preserve"> de drogues/toxicomane</w:t>
            </w:r>
          </w:p>
          <w:p w14:paraId="3726FD52" w14:textId="77777777" w:rsidR="00A454B0"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drogué</w:t>
            </w:r>
            <w:proofErr w:type="gramEnd"/>
          </w:p>
          <w:p w14:paraId="6DD107D5" w14:textId="77777777" w:rsidR="00A454B0" w:rsidRPr="00D15745" w:rsidRDefault="007350F8" w:rsidP="00921BF8">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toxicomane</w:t>
            </w:r>
            <w:proofErr w:type="gramEnd"/>
          </w:p>
        </w:tc>
        <w:tc>
          <w:tcPr>
            <w:tcW w:w="1666" w:type="pct"/>
            <w:vMerge w:val="restart"/>
          </w:tcPr>
          <w:p w14:paraId="07265671" w14:textId="77777777" w:rsidR="00A454B0" w:rsidRPr="00D15745" w:rsidRDefault="007350F8" w:rsidP="00921BF8">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Le langage axé sur la personne met l'accent sur l'humanité de celle-ci.</w:t>
            </w:r>
          </w:p>
        </w:tc>
      </w:tr>
      <w:tr w:rsidR="00896FB7" w14:paraId="633998B1" w14:textId="77777777" w:rsidTr="00921BF8">
        <w:tc>
          <w:tcPr>
            <w:tcW w:w="1667" w:type="pct"/>
          </w:tcPr>
          <w:p w14:paraId="6EC4F582" w14:textId="1EB71D26" w:rsidR="00A454B0" w:rsidRPr="00D15745" w:rsidRDefault="007350F8" w:rsidP="00921BF8">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personne</w:t>
            </w:r>
            <w:proofErr w:type="gramEnd"/>
            <w:r>
              <w:rPr>
                <w:rFonts w:ascii="Calibri" w:eastAsia="Calibri" w:hAnsi="Calibri" w:cs="Calibri"/>
                <w:b/>
                <w:bCs/>
                <w:sz w:val="22"/>
                <w:szCs w:val="22"/>
                <w:lang w:val="fr-FR"/>
              </w:rPr>
              <w:t xml:space="preserve"> </w:t>
            </w:r>
            <w:r w:rsidR="007E6B70">
              <w:rPr>
                <w:rFonts w:ascii="Calibri" w:eastAsia="Calibri" w:hAnsi="Calibri" w:cs="Calibri"/>
                <w:b/>
                <w:bCs/>
                <w:sz w:val="22"/>
                <w:szCs w:val="22"/>
                <w:lang w:val="fr-FR"/>
              </w:rPr>
              <w:t>vivant</w:t>
            </w:r>
            <w:r w:rsidR="007E6B70" w:rsidRPr="007E6B70">
              <w:rPr>
                <w:rFonts w:ascii="Calibri" w:eastAsia="Calibri" w:hAnsi="Calibri" w:cs="Calibri"/>
                <w:b/>
                <w:bCs/>
                <w:sz w:val="22"/>
                <w:szCs w:val="22"/>
                <w:lang w:val="fr-FR"/>
              </w:rPr>
              <w:t xml:space="preserve"> des difficultés </w:t>
            </w:r>
            <w:r>
              <w:rPr>
                <w:rFonts w:ascii="Calibri" w:eastAsia="Calibri" w:hAnsi="Calibri" w:cs="Calibri"/>
                <w:b/>
                <w:bCs/>
                <w:sz w:val="22"/>
                <w:szCs w:val="22"/>
                <w:lang w:val="fr-FR"/>
              </w:rPr>
              <w:t>liés à la consommation d'alcool</w:t>
            </w:r>
          </w:p>
        </w:tc>
        <w:tc>
          <w:tcPr>
            <w:tcW w:w="1667" w:type="pct"/>
          </w:tcPr>
          <w:p w14:paraId="150B614F" w14:textId="77777777" w:rsidR="00A454B0" w:rsidRPr="00727EC8" w:rsidRDefault="007350F8" w:rsidP="00921BF8">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alcoolique</w:t>
            </w:r>
            <w:proofErr w:type="gramEnd"/>
          </w:p>
        </w:tc>
        <w:tc>
          <w:tcPr>
            <w:tcW w:w="1666" w:type="pct"/>
            <w:vMerge/>
          </w:tcPr>
          <w:p w14:paraId="70A0C885" w14:textId="77777777" w:rsidR="00A454B0" w:rsidRPr="00727EC8" w:rsidRDefault="00A454B0" w:rsidP="00921BF8">
            <w:pPr>
              <w:pStyle w:val="Default"/>
              <w:spacing w:after="120" w:line="276" w:lineRule="auto"/>
              <w:rPr>
                <w:rFonts w:asciiTheme="minorHAnsi" w:hAnsiTheme="minorHAnsi" w:cstheme="minorHAnsi"/>
                <w:sz w:val="22"/>
                <w:szCs w:val="22"/>
              </w:rPr>
            </w:pPr>
          </w:p>
        </w:tc>
      </w:tr>
      <w:tr w:rsidR="00896FB7" w:rsidRPr="00EE1EE3" w14:paraId="1E05AE35" w14:textId="77777777" w:rsidTr="00921BF8">
        <w:tc>
          <w:tcPr>
            <w:tcW w:w="1667" w:type="pct"/>
            <w:shd w:val="clear" w:color="auto" w:fill="EDEDED"/>
          </w:tcPr>
          <w:p w14:paraId="33A39A3D" w14:textId="71E60E92" w:rsidR="00A454B0" w:rsidRPr="00D15745" w:rsidRDefault="007E6B70" w:rsidP="00921BF8">
            <w:pPr>
              <w:pStyle w:val="Default"/>
              <w:spacing w:after="120" w:line="276" w:lineRule="auto"/>
              <w:rPr>
                <w:rFonts w:asciiTheme="minorHAnsi" w:hAnsiTheme="minorHAnsi" w:cstheme="minorHAnsi"/>
                <w:b/>
                <w:bCs/>
                <w:sz w:val="22"/>
                <w:szCs w:val="22"/>
                <w:lang w:val="fr-FR"/>
              </w:rPr>
            </w:pPr>
            <w:r w:rsidRPr="007E6B70">
              <w:rPr>
                <w:rFonts w:ascii="Calibri" w:eastAsia="Calibri" w:hAnsi="Calibri" w:cs="Calibri"/>
                <w:b/>
                <w:bCs/>
                <w:sz w:val="22"/>
                <w:szCs w:val="22"/>
                <w:lang w:val="fr-FR"/>
              </w:rPr>
              <w:t>Difficulté</w:t>
            </w:r>
            <w:r>
              <w:rPr>
                <w:rFonts w:ascii="Calibri" w:eastAsia="Calibri" w:hAnsi="Calibri" w:cs="Calibri"/>
                <w:b/>
                <w:bCs/>
                <w:sz w:val="22"/>
                <w:szCs w:val="22"/>
                <w:lang w:val="fr-FR"/>
              </w:rPr>
              <w:t xml:space="preserve"> </w:t>
            </w:r>
            <w:r w:rsidR="007350F8">
              <w:rPr>
                <w:rFonts w:ascii="Calibri" w:eastAsia="Calibri" w:hAnsi="Calibri" w:cs="Calibri"/>
                <w:b/>
                <w:bCs/>
                <w:sz w:val="22"/>
                <w:szCs w:val="22"/>
                <w:lang w:val="fr-FR"/>
              </w:rPr>
              <w:t>lié</w:t>
            </w:r>
            <w:r>
              <w:rPr>
                <w:rFonts w:ascii="Calibri" w:eastAsia="Calibri" w:hAnsi="Calibri" w:cs="Calibri"/>
                <w:b/>
                <w:bCs/>
                <w:sz w:val="22"/>
                <w:szCs w:val="22"/>
                <w:lang w:val="fr-FR"/>
              </w:rPr>
              <w:t>e</w:t>
            </w:r>
            <w:r w:rsidR="007350F8">
              <w:rPr>
                <w:rFonts w:ascii="Calibri" w:eastAsia="Calibri" w:hAnsi="Calibri" w:cs="Calibri"/>
                <w:b/>
                <w:bCs/>
                <w:sz w:val="22"/>
                <w:szCs w:val="22"/>
                <w:lang w:val="fr-FR"/>
              </w:rPr>
              <w:t xml:space="preserve"> à la consommation de substances</w:t>
            </w:r>
          </w:p>
        </w:tc>
        <w:tc>
          <w:tcPr>
            <w:tcW w:w="1667" w:type="pct"/>
            <w:shd w:val="clear" w:color="auto" w:fill="EDEDED"/>
          </w:tcPr>
          <w:p w14:paraId="2660EB21" w14:textId="77777777" w:rsidR="00A454B0"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addiction</w:t>
            </w:r>
            <w:proofErr w:type="gramEnd"/>
          </w:p>
          <w:p w14:paraId="6F292A13" w14:textId="77777777" w:rsidR="00A454B0"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pharmacodépendance</w:t>
            </w:r>
            <w:proofErr w:type="gramEnd"/>
          </w:p>
          <w:p w14:paraId="194019FC" w14:textId="77777777" w:rsidR="00A454B0"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manque</w:t>
            </w:r>
            <w:proofErr w:type="gramEnd"/>
            <w:r>
              <w:rPr>
                <w:rFonts w:ascii="Calibri" w:eastAsia="Calibri" w:hAnsi="Calibri" w:cs="Calibri"/>
                <w:sz w:val="22"/>
                <w:szCs w:val="22"/>
                <w:lang w:val="fr-FR"/>
              </w:rPr>
              <w:t xml:space="preserve"> de drogue</w:t>
            </w:r>
          </w:p>
          <w:p w14:paraId="4B318E6C" w14:textId="77777777" w:rsidR="00A454B0" w:rsidRPr="00D15745" w:rsidRDefault="007350F8" w:rsidP="00921BF8">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toxicomanie</w:t>
            </w:r>
            <w:proofErr w:type="gramEnd"/>
          </w:p>
        </w:tc>
        <w:tc>
          <w:tcPr>
            <w:tcW w:w="1666" w:type="pct"/>
            <w:vMerge w:val="restart"/>
            <w:shd w:val="clear" w:color="auto" w:fill="EDEDED"/>
          </w:tcPr>
          <w:p w14:paraId="47318FB7" w14:textId="77777777" w:rsidR="00A454B0" w:rsidRPr="00D15745" w:rsidRDefault="007350F8" w:rsidP="00921BF8">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Ce terme préconisé s'aligne sur les initiatives de la communauté médicale et du gouvernement fédéral visant à sensibiliser les gens au fait que la consommation compulsive de substances est un trouble cérébral complexe plutôt qu'un échec moral ou un défaut de personnalité.</w:t>
            </w:r>
          </w:p>
          <w:p w14:paraId="53632816" w14:textId="77777777" w:rsidR="00A454B0" w:rsidRPr="00D15745" w:rsidRDefault="007350F8" w:rsidP="00921BF8">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 Abus » est un terme négatif qui invite à un jugement de valeur. L’addiction n'est pas un terme de diagnostic bien qu'elle soit un synonyme acceptable de trouble modéré ou grave de la </w:t>
            </w:r>
            <w:r>
              <w:rPr>
                <w:rFonts w:ascii="Calibri" w:eastAsia="Calibri" w:hAnsi="Calibri" w:cs="Calibri"/>
                <w:sz w:val="22"/>
                <w:szCs w:val="22"/>
                <w:lang w:val="fr-FR"/>
              </w:rPr>
              <w:lastRenderedPageBreak/>
              <w:t>consommation de substances. La dépendance, en revanche, n'est pas synonyme de trouble lié à la consommation de substances ; voir « Dépendance et addiction » ci-dessous.</w:t>
            </w:r>
          </w:p>
        </w:tc>
      </w:tr>
      <w:tr w:rsidR="00896FB7" w:rsidRPr="00EE1EE3" w14:paraId="2AAED2D2" w14:textId="77777777" w:rsidTr="00921BF8">
        <w:tc>
          <w:tcPr>
            <w:tcW w:w="1667" w:type="pct"/>
            <w:shd w:val="clear" w:color="auto" w:fill="EDEDED"/>
          </w:tcPr>
          <w:p w14:paraId="5AF8F567" w14:textId="21C9FA17" w:rsidR="00A454B0" w:rsidRPr="00D15745" w:rsidRDefault="007E6B70" w:rsidP="00921BF8">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difficultés</w:t>
            </w:r>
            <w:proofErr w:type="gramEnd"/>
            <w:r>
              <w:rPr>
                <w:rFonts w:ascii="Calibri" w:eastAsia="Calibri" w:hAnsi="Calibri" w:cs="Calibri"/>
                <w:b/>
                <w:bCs/>
                <w:sz w:val="22"/>
                <w:szCs w:val="22"/>
                <w:lang w:val="fr-FR"/>
              </w:rPr>
              <w:t xml:space="preserve"> </w:t>
            </w:r>
            <w:r w:rsidR="007350F8">
              <w:rPr>
                <w:rFonts w:ascii="Calibri" w:eastAsia="Calibri" w:hAnsi="Calibri" w:cs="Calibri"/>
                <w:b/>
                <w:bCs/>
                <w:sz w:val="22"/>
                <w:szCs w:val="22"/>
                <w:lang w:val="fr-FR"/>
              </w:rPr>
              <w:t>lié</w:t>
            </w:r>
            <w:r>
              <w:rPr>
                <w:rFonts w:ascii="Calibri" w:eastAsia="Calibri" w:hAnsi="Calibri" w:cs="Calibri"/>
                <w:b/>
                <w:bCs/>
                <w:sz w:val="22"/>
                <w:szCs w:val="22"/>
                <w:lang w:val="fr-FR"/>
              </w:rPr>
              <w:t>e</w:t>
            </w:r>
            <w:r w:rsidR="007350F8">
              <w:rPr>
                <w:rFonts w:ascii="Calibri" w:eastAsia="Calibri" w:hAnsi="Calibri" w:cs="Calibri"/>
                <w:b/>
                <w:bCs/>
                <w:sz w:val="22"/>
                <w:szCs w:val="22"/>
                <w:lang w:val="fr-FR"/>
              </w:rPr>
              <w:t>s à la consommation d’alcool</w:t>
            </w:r>
          </w:p>
        </w:tc>
        <w:tc>
          <w:tcPr>
            <w:tcW w:w="1667" w:type="pct"/>
            <w:shd w:val="clear" w:color="auto" w:fill="EDEDED"/>
          </w:tcPr>
          <w:p w14:paraId="1BEB5B91" w14:textId="77777777" w:rsidR="00A454B0"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alcoolisme</w:t>
            </w:r>
            <w:proofErr w:type="gramEnd"/>
          </w:p>
          <w:p w14:paraId="2F2499C7" w14:textId="77777777" w:rsidR="00A454B0"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abus</w:t>
            </w:r>
            <w:proofErr w:type="gramEnd"/>
            <w:r>
              <w:rPr>
                <w:rFonts w:ascii="Calibri" w:eastAsia="Calibri" w:hAnsi="Calibri" w:cs="Calibri"/>
                <w:sz w:val="22"/>
                <w:szCs w:val="22"/>
                <w:lang w:val="fr-FR"/>
              </w:rPr>
              <w:t xml:space="preserve"> d’alcool</w:t>
            </w:r>
          </w:p>
          <w:p w14:paraId="2A2C2170" w14:textId="77777777" w:rsidR="00A454B0" w:rsidRPr="00D15745" w:rsidRDefault="007350F8" w:rsidP="00921BF8">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dépendance</w:t>
            </w:r>
            <w:proofErr w:type="gramEnd"/>
            <w:r>
              <w:rPr>
                <w:rFonts w:ascii="Calibri" w:eastAsia="Calibri" w:hAnsi="Calibri" w:cs="Calibri"/>
                <w:sz w:val="22"/>
                <w:szCs w:val="22"/>
                <w:lang w:val="fr-FR"/>
              </w:rPr>
              <w:t xml:space="preserve"> à l’alcool</w:t>
            </w:r>
          </w:p>
        </w:tc>
        <w:tc>
          <w:tcPr>
            <w:tcW w:w="1666" w:type="pct"/>
            <w:vMerge/>
            <w:shd w:val="clear" w:color="auto" w:fill="EDEDED"/>
          </w:tcPr>
          <w:p w14:paraId="7A0B9DBA" w14:textId="77777777" w:rsidR="00A454B0" w:rsidRPr="00D15745" w:rsidRDefault="00A454B0" w:rsidP="00921BF8">
            <w:pPr>
              <w:pStyle w:val="Default"/>
              <w:spacing w:after="120" w:line="276" w:lineRule="auto"/>
              <w:rPr>
                <w:rFonts w:asciiTheme="minorHAnsi" w:hAnsiTheme="minorHAnsi" w:cstheme="minorHAnsi"/>
                <w:sz w:val="22"/>
                <w:szCs w:val="22"/>
                <w:lang w:val="fr-FR"/>
              </w:rPr>
            </w:pPr>
          </w:p>
        </w:tc>
      </w:tr>
      <w:tr w:rsidR="00896FB7" w:rsidRPr="00EE1EE3" w14:paraId="0105F777" w14:textId="77777777" w:rsidTr="00921BF8">
        <w:tc>
          <w:tcPr>
            <w:tcW w:w="1667" w:type="pct"/>
          </w:tcPr>
          <w:p w14:paraId="0FDA8BA6" w14:textId="5C8C125B" w:rsidR="00A454B0" w:rsidRPr="00E214B8" w:rsidRDefault="007350F8" w:rsidP="00921BF8">
            <w:pPr>
              <w:autoSpaceDE w:val="0"/>
              <w:autoSpaceDN w:val="0"/>
              <w:adjustRightInd w:val="0"/>
              <w:spacing w:after="0" w:line="276" w:lineRule="auto"/>
              <w:rPr>
                <w:rFonts w:cstheme="minorHAnsi"/>
                <w:color w:val="000000"/>
                <w:lang w:val="fr-FR"/>
              </w:rPr>
            </w:pPr>
            <w:proofErr w:type="spellStart"/>
            <w:proofErr w:type="gramStart"/>
            <w:r w:rsidRPr="00E214B8">
              <w:rPr>
                <w:rFonts w:ascii="Calibri" w:eastAsia="Calibri" w:hAnsi="Calibri" w:cs="Calibri"/>
                <w:b/>
                <w:bCs/>
                <w:color w:val="000000"/>
                <w:lang w:val="fr-FR"/>
              </w:rPr>
              <w:t>né</w:t>
            </w:r>
            <w:proofErr w:type="gramEnd"/>
            <w:r w:rsidR="00E214B8">
              <w:rPr>
                <w:rFonts w:ascii="Calibri" w:eastAsia="Calibri" w:hAnsi="Calibri" w:cs="Calibri"/>
                <w:b/>
                <w:bCs/>
                <w:color w:val="000000"/>
                <w:lang w:val="fr-FR"/>
              </w:rPr>
              <w:t>•e</w:t>
            </w:r>
            <w:proofErr w:type="spellEnd"/>
            <w:r w:rsidRPr="00E214B8">
              <w:rPr>
                <w:rFonts w:ascii="Calibri" w:eastAsia="Calibri" w:hAnsi="Calibri" w:cs="Calibri"/>
                <w:b/>
                <w:bCs/>
                <w:color w:val="000000"/>
                <w:lang w:val="fr-FR"/>
              </w:rPr>
              <w:t xml:space="preserve"> avec un manque</w:t>
            </w:r>
          </w:p>
          <w:p w14:paraId="4E2C0C1C" w14:textId="04A90A46" w:rsidR="00A454B0" w:rsidRPr="00D15745" w:rsidRDefault="007350F8" w:rsidP="00921BF8">
            <w:pPr>
              <w:autoSpaceDE w:val="0"/>
              <w:autoSpaceDN w:val="0"/>
              <w:adjustRightInd w:val="0"/>
              <w:spacing w:after="120" w:line="276" w:lineRule="auto"/>
              <w:rPr>
                <w:rFonts w:cstheme="minorHAnsi"/>
                <w:color w:val="000000"/>
                <w:lang w:val="fr-FR"/>
              </w:rPr>
            </w:pPr>
            <w:proofErr w:type="spellStart"/>
            <w:proofErr w:type="gramStart"/>
            <w:r w:rsidRPr="00E214B8">
              <w:rPr>
                <w:rFonts w:ascii="Calibri" w:eastAsia="Calibri" w:hAnsi="Calibri" w:cs="Calibri"/>
                <w:b/>
                <w:bCs/>
                <w:color w:val="000000"/>
                <w:lang w:val="fr-FR"/>
              </w:rPr>
              <w:t>né</w:t>
            </w:r>
            <w:proofErr w:type="gramEnd"/>
            <w:r w:rsidR="00E214B8">
              <w:rPr>
                <w:rFonts w:ascii="Calibri" w:eastAsia="Calibri" w:hAnsi="Calibri" w:cs="Calibri"/>
                <w:b/>
                <w:bCs/>
                <w:color w:val="000000"/>
                <w:lang w:val="fr-FR"/>
              </w:rPr>
              <w:t>•e</w:t>
            </w:r>
            <w:proofErr w:type="spellEnd"/>
            <w:r w:rsidRPr="00E214B8">
              <w:rPr>
                <w:rFonts w:ascii="Calibri" w:eastAsia="Calibri" w:hAnsi="Calibri" w:cs="Calibri"/>
                <w:b/>
                <w:bCs/>
                <w:color w:val="000000"/>
                <w:lang w:val="fr-FR"/>
              </w:rPr>
              <w:t xml:space="preserve"> avec une dépendance à </w:t>
            </w:r>
            <w:r w:rsidRPr="00E214B8">
              <w:rPr>
                <w:rFonts w:ascii="Calibri" w:eastAsia="Calibri" w:hAnsi="Calibri" w:cs="Calibri"/>
                <w:color w:val="000000"/>
                <w:lang w:val="fr-FR"/>
              </w:rPr>
              <w:t>[</w:t>
            </w:r>
            <w:r w:rsidR="00E214B8">
              <w:rPr>
                <w:rFonts w:ascii="Calibri" w:eastAsia="Calibri" w:hAnsi="Calibri" w:cs="Calibri"/>
                <w:color w:val="000000"/>
                <w:lang w:val="fr-FR"/>
              </w:rPr>
              <w:t>produit</w:t>
            </w:r>
            <w:r w:rsidRPr="00E214B8">
              <w:rPr>
                <w:rFonts w:ascii="Calibri" w:eastAsia="Calibri" w:hAnsi="Calibri" w:cs="Calibri"/>
                <w:color w:val="000000"/>
                <w:lang w:val="fr-FR"/>
              </w:rPr>
              <w:t>]</w:t>
            </w:r>
          </w:p>
        </w:tc>
        <w:tc>
          <w:tcPr>
            <w:tcW w:w="1667" w:type="pct"/>
          </w:tcPr>
          <w:p w14:paraId="0AD97FD7" w14:textId="77777777" w:rsidR="00A454B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né</w:t>
            </w:r>
            <w:proofErr w:type="gramEnd"/>
            <w:r>
              <w:rPr>
                <w:rFonts w:ascii="Calibri" w:eastAsia="Calibri" w:hAnsi="Calibri" w:cs="Calibri"/>
                <w:color w:val="000000"/>
                <w:lang w:val="fr-FR"/>
              </w:rPr>
              <w:t xml:space="preserve"> avec une addiction</w:t>
            </w:r>
          </w:p>
        </w:tc>
        <w:tc>
          <w:tcPr>
            <w:tcW w:w="1666" w:type="pct"/>
            <w:vMerge w:val="restart"/>
          </w:tcPr>
          <w:p w14:paraId="550A23A3" w14:textId="77777777" w:rsidR="00A454B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Même si une dépendance peut être présente, les nourrissons ne sont pas capables de faire une consommation compulsive de substances, malgré les conséquences négatives qui définissent l’addiction.</w:t>
            </w:r>
          </w:p>
        </w:tc>
      </w:tr>
      <w:tr w:rsidR="00896FB7" w14:paraId="329E1DF2" w14:textId="77777777" w:rsidTr="00921BF8">
        <w:tc>
          <w:tcPr>
            <w:tcW w:w="1667" w:type="pct"/>
          </w:tcPr>
          <w:p w14:paraId="5CF33C23" w14:textId="77777777" w:rsidR="00A454B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nourrisson</w:t>
            </w:r>
            <w:proofErr w:type="gramEnd"/>
            <w:r>
              <w:rPr>
                <w:rFonts w:ascii="Calibri" w:eastAsia="Calibri" w:hAnsi="Calibri" w:cs="Calibri"/>
                <w:b/>
                <w:bCs/>
                <w:color w:val="000000"/>
                <w:lang w:val="fr-FR"/>
              </w:rPr>
              <w:t xml:space="preserve"> atteint d’un syndrome de sevrage néonatal</w:t>
            </w:r>
          </w:p>
        </w:tc>
        <w:tc>
          <w:tcPr>
            <w:tcW w:w="1667" w:type="pct"/>
          </w:tcPr>
          <w:p w14:paraId="7A56F57C" w14:textId="77777777" w:rsidR="00A454B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nourrisson</w:t>
            </w:r>
            <w:proofErr w:type="gramEnd"/>
            <w:r>
              <w:rPr>
                <w:rFonts w:ascii="Calibri" w:eastAsia="Calibri" w:hAnsi="Calibri" w:cs="Calibri"/>
                <w:color w:val="000000"/>
                <w:lang w:val="fr-FR"/>
              </w:rPr>
              <w:t xml:space="preserve"> souffrant d’une addiction</w:t>
            </w:r>
          </w:p>
        </w:tc>
        <w:tc>
          <w:tcPr>
            <w:tcW w:w="1666" w:type="pct"/>
            <w:vMerge/>
          </w:tcPr>
          <w:p w14:paraId="75149B7E" w14:textId="77777777" w:rsidR="00A454B0" w:rsidRPr="00727EC8" w:rsidRDefault="00A454B0" w:rsidP="00921BF8">
            <w:pPr>
              <w:autoSpaceDE w:val="0"/>
              <w:autoSpaceDN w:val="0"/>
              <w:adjustRightInd w:val="0"/>
              <w:spacing w:after="120" w:line="276" w:lineRule="auto"/>
              <w:rPr>
                <w:rFonts w:cstheme="minorHAnsi"/>
                <w:color w:val="000000"/>
              </w:rPr>
            </w:pPr>
          </w:p>
        </w:tc>
      </w:tr>
      <w:tr w:rsidR="00896FB7" w:rsidRPr="00EE1EE3" w14:paraId="5ADD5995" w14:textId="77777777" w:rsidTr="00921BF8">
        <w:tc>
          <w:tcPr>
            <w:tcW w:w="1667" w:type="pct"/>
            <w:shd w:val="clear" w:color="auto" w:fill="EDEDED"/>
          </w:tcPr>
          <w:p w14:paraId="76EF996A" w14:textId="63FBD168" w:rsidR="00A454B0" w:rsidRPr="00D15745" w:rsidRDefault="001E74D1"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ne</w:t>
            </w:r>
            <w:proofErr w:type="gramEnd"/>
            <w:r>
              <w:rPr>
                <w:rFonts w:ascii="Calibri" w:eastAsia="Calibri" w:hAnsi="Calibri" w:cs="Calibri"/>
                <w:b/>
                <w:bCs/>
                <w:color w:val="000000"/>
                <w:lang w:val="fr-FR"/>
              </w:rPr>
              <w:t xml:space="preserve"> consomme </w:t>
            </w:r>
            <w:r w:rsidR="007350F8">
              <w:rPr>
                <w:rFonts w:ascii="Calibri" w:eastAsia="Calibri" w:hAnsi="Calibri" w:cs="Calibri"/>
                <w:b/>
                <w:bCs/>
                <w:color w:val="000000"/>
                <w:lang w:val="fr-FR"/>
              </w:rPr>
              <w:t>pas de substances actuellement</w:t>
            </w:r>
          </w:p>
          <w:p w14:paraId="60DD62CE" w14:textId="77777777" w:rsidR="00A454B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négatif</w:t>
            </w:r>
            <w:proofErr w:type="gramEnd"/>
            <w:r>
              <w:rPr>
                <w:rFonts w:ascii="Calibri" w:eastAsia="Calibri" w:hAnsi="Calibri" w:cs="Calibri"/>
                <w:b/>
                <w:bCs/>
                <w:color w:val="000000"/>
                <w:lang w:val="fr-FR"/>
              </w:rPr>
              <w:t xml:space="preserve"> </w:t>
            </w:r>
            <w:r>
              <w:rPr>
                <w:rFonts w:ascii="Calibri" w:eastAsia="Calibri" w:hAnsi="Calibri" w:cs="Calibri"/>
                <w:color w:val="000000"/>
                <w:lang w:val="fr-FR"/>
              </w:rPr>
              <w:t>[à un examen toxicologique]</w:t>
            </w:r>
          </w:p>
        </w:tc>
        <w:tc>
          <w:tcPr>
            <w:tcW w:w="1667" w:type="pct"/>
            <w:shd w:val="clear" w:color="auto" w:fill="EDEDED"/>
          </w:tcPr>
          <w:p w14:paraId="282456DF" w14:textId="77777777" w:rsidR="00A454B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propre</w:t>
            </w:r>
            <w:proofErr w:type="gramEnd"/>
          </w:p>
        </w:tc>
        <w:tc>
          <w:tcPr>
            <w:tcW w:w="1666" w:type="pct"/>
            <w:vMerge w:val="restart"/>
            <w:shd w:val="clear" w:color="auto" w:fill="EDEDED"/>
          </w:tcPr>
          <w:p w14:paraId="15258148" w14:textId="77777777" w:rsidR="00A454B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Qualifier la consommation de drogues de « sale » et l'absence de consommation de « propre » invite à un jugement de valeur qui stigmatise les personnes qui consomment des drogues et ne reflète pas exactement les complexités du trouble de la consommation de substances et du rétablissement.</w:t>
            </w:r>
          </w:p>
        </w:tc>
      </w:tr>
      <w:tr w:rsidR="00896FB7" w14:paraId="3FA2962F" w14:textId="77777777" w:rsidTr="00921BF8">
        <w:tc>
          <w:tcPr>
            <w:tcW w:w="1667" w:type="pct"/>
            <w:shd w:val="clear" w:color="auto" w:fill="EDEDED"/>
          </w:tcPr>
          <w:p w14:paraId="78C28C55" w14:textId="77777777" w:rsidR="00A454B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utilisant</w:t>
            </w:r>
            <w:proofErr w:type="gramEnd"/>
            <w:r>
              <w:rPr>
                <w:rFonts w:ascii="Calibri" w:eastAsia="Calibri" w:hAnsi="Calibri" w:cs="Calibri"/>
                <w:b/>
                <w:bCs/>
                <w:color w:val="000000"/>
                <w:lang w:val="fr-FR"/>
              </w:rPr>
              <w:t xml:space="preserve"> actuellement des substances</w:t>
            </w:r>
          </w:p>
          <w:p w14:paraId="5A8E8599" w14:textId="77777777" w:rsidR="00A454B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positif</w:t>
            </w:r>
            <w:proofErr w:type="gramEnd"/>
            <w:r>
              <w:rPr>
                <w:rFonts w:ascii="Calibri" w:eastAsia="Calibri" w:hAnsi="Calibri" w:cs="Calibri"/>
                <w:b/>
                <w:bCs/>
                <w:color w:val="000000"/>
                <w:lang w:val="fr-FR"/>
              </w:rPr>
              <w:t xml:space="preserve"> </w:t>
            </w:r>
            <w:r>
              <w:rPr>
                <w:rFonts w:ascii="Calibri" w:eastAsia="Calibri" w:hAnsi="Calibri" w:cs="Calibri"/>
                <w:color w:val="000000"/>
                <w:lang w:val="fr-FR"/>
              </w:rPr>
              <w:t>[à un examen toxicologique]</w:t>
            </w:r>
          </w:p>
        </w:tc>
        <w:tc>
          <w:tcPr>
            <w:tcW w:w="1667" w:type="pct"/>
            <w:shd w:val="clear" w:color="auto" w:fill="EDEDED"/>
          </w:tcPr>
          <w:p w14:paraId="28A82E01" w14:textId="77777777" w:rsidR="00A454B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sale</w:t>
            </w:r>
            <w:proofErr w:type="gramEnd"/>
          </w:p>
        </w:tc>
        <w:tc>
          <w:tcPr>
            <w:tcW w:w="1666" w:type="pct"/>
            <w:vMerge/>
            <w:shd w:val="clear" w:color="auto" w:fill="EDEDED"/>
          </w:tcPr>
          <w:p w14:paraId="56F993A9" w14:textId="77777777" w:rsidR="00A454B0" w:rsidRPr="00727EC8" w:rsidRDefault="00A454B0" w:rsidP="00921BF8">
            <w:pPr>
              <w:autoSpaceDE w:val="0"/>
              <w:autoSpaceDN w:val="0"/>
              <w:adjustRightInd w:val="0"/>
              <w:spacing w:after="120" w:line="276" w:lineRule="auto"/>
              <w:rPr>
                <w:rFonts w:cstheme="minorHAnsi"/>
                <w:color w:val="000000"/>
              </w:rPr>
            </w:pPr>
          </w:p>
        </w:tc>
      </w:tr>
      <w:tr w:rsidR="00896FB7" w:rsidRPr="00EE1EE3" w14:paraId="4E6EA611" w14:textId="77777777" w:rsidTr="00921BF8">
        <w:tc>
          <w:tcPr>
            <w:tcW w:w="1667" w:type="pct"/>
          </w:tcPr>
          <w:p w14:paraId="5B68501B" w14:textId="06DA2738" w:rsidR="00A454B0" w:rsidRPr="00D15745" w:rsidRDefault="00B23CC3" w:rsidP="00B23CC3">
            <w:pPr>
              <w:autoSpaceDE w:val="0"/>
              <w:autoSpaceDN w:val="0"/>
              <w:adjustRightInd w:val="0"/>
              <w:spacing w:after="120" w:line="276" w:lineRule="auto"/>
              <w:rPr>
                <w:rFonts w:cstheme="minorHAnsi"/>
                <w:color w:val="000000"/>
                <w:lang w:val="fr-FR"/>
              </w:rPr>
            </w:pPr>
            <w:r>
              <w:rPr>
                <w:rFonts w:ascii="Calibri" w:eastAsia="Calibri" w:hAnsi="Calibri" w:cs="Calibri"/>
                <w:b/>
                <w:bCs/>
                <w:color w:val="000000"/>
                <w:lang w:val="fr-FR"/>
              </w:rPr>
              <w:t>Traitement agoniste opioïde</w:t>
            </w:r>
          </w:p>
        </w:tc>
        <w:tc>
          <w:tcPr>
            <w:tcW w:w="1667" w:type="pct"/>
          </w:tcPr>
          <w:p w14:paraId="4BD5FD24" w14:textId="77777777" w:rsidR="00A454B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traitement</w:t>
            </w:r>
            <w:proofErr w:type="gramEnd"/>
            <w:r>
              <w:rPr>
                <w:rFonts w:ascii="Calibri" w:eastAsia="Calibri" w:hAnsi="Calibri" w:cs="Calibri"/>
                <w:color w:val="000000"/>
                <w:lang w:val="fr-FR"/>
              </w:rPr>
              <w:t xml:space="preserve"> de substitution aux opioïdes</w:t>
            </w:r>
          </w:p>
          <w:p w14:paraId="6B5D260B" w14:textId="77777777" w:rsidR="00A454B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traitement</w:t>
            </w:r>
            <w:proofErr w:type="gramEnd"/>
            <w:r>
              <w:rPr>
                <w:rFonts w:ascii="Calibri" w:eastAsia="Calibri" w:hAnsi="Calibri" w:cs="Calibri"/>
                <w:color w:val="000000"/>
                <w:lang w:val="fr-FR"/>
              </w:rPr>
              <w:t xml:space="preserve"> d’entretien avec la méthadone</w:t>
            </w:r>
          </w:p>
          <w:p w14:paraId="6F895746" w14:textId="77777777" w:rsidR="00A454B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drogues</w:t>
            </w:r>
            <w:proofErr w:type="gramEnd"/>
            <w:r>
              <w:rPr>
                <w:rFonts w:ascii="Calibri" w:eastAsia="Calibri" w:hAnsi="Calibri" w:cs="Calibri"/>
                <w:color w:val="000000"/>
                <w:lang w:val="fr-FR"/>
              </w:rPr>
              <w:t xml:space="preserve"> de substitution</w:t>
            </w:r>
          </w:p>
        </w:tc>
        <w:tc>
          <w:tcPr>
            <w:tcW w:w="1666" w:type="pct"/>
            <w:vMerge w:val="restart"/>
          </w:tcPr>
          <w:p w14:paraId="02E60C33" w14:textId="77777777" w:rsidR="00A454B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 Substitution » implique que les médicaments ne font que « remplacer » un médicament ou « une dépendance » par une autre et alimente l’idée fausse et stigmatisante selon laquelle ils empêcheraient les gens d'accéder au traitement. Le terme « Traitement assisté par médicaments » ne doit pas être utilisé pour parler du traitement des troubles liés à la consommation d'opioïdes car « assisté » implique que les médicaments sont secondaires par rapport à d'autres formes </w:t>
            </w:r>
            <w:r>
              <w:rPr>
                <w:rFonts w:ascii="Calibri" w:eastAsia="Calibri" w:hAnsi="Calibri" w:cs="Calibri"/>
                <w:color w:val="000000"/>
                <w:lang w:val="fr-FR"/>
              </w:rPr>
              <w:lastRenderedPageBreak/>
              <w:t>de traitement, ce qui n'est plus le cas.</w:t>
            </w:r>
          </w:p>
        </w:tc>
      </w:tr>
      <w:tr w:rsidR="00896FB7" w:rsidRPr="00EE1EE3" w14:paraId="39562C51" w14:textId="77777777" w:rsidTr="00921BF8">
        <w:tc>
          <w:tcPr>
            <w:tcW w:w="1667" w:type="pct"/>
          </w:tcPr>
          <w:p w14:paraId="05E5B419" w14:textId="77777777" w:rsidR="00A454B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traitement</w:t>
            </w:r>
            <w:proofErr w:type="gramEnd"/>
            <w:r>
              <w:rPr>
                <w:rFonts w:ascii="Calibri" w:eastAsia="Calibri" w:hAnsi="Calibri" w:cs="Calibri"/>
                <w:b/>
                <w:bCs/>
                <w:color w:val="000000"/>
                <w:lang w:val="fr-FR"/>
              </w:rPr>
              <w:t xml:space="preserve"> assisté par médicaments </w:t>
            </w:r>
            <w:r>
              <w:rPr>
                <w:rFonts w:ascii="Calibri" w:eastAsia="Calibri" w:hAnsi="Calibri" w:cs="Calibri"/>
                <w:color w:val="000000"/>
                <w:lang w:val="fr-FR"/>
              </w:rPr>
              <w:t>[en référence ou comprenant des médicaments utilisés pour traiter les troubles liés à la consommation d'alcool]</w:t>
            </w:r>
          </w:p>
        </w:tc>
        <w:tc>
          <w:tcPr>
            <w:tcW w:w="1667" w:type="pct"/>
          </w:tcPr>
          <w:p w14:paraId="583AC5FF" w14:textId="77777777" w:rsidR="00A454B0" w:rsidRPr="00D15745" w:rsidRDefault="00A454B0" w:rsidP="00921BF8">
            <w:pPr>
              <w:autoSpaceDE w:val="0"/>
              <w:autoSpaceDN w:val="0"/>
              <w:adjustRightInd w:val="0"/>
              <w:spacing w:after="120" w:line="276" w:lineRule="auto"/>
              <w:rPr>
                <w:rFonts w:cstheme="minorHAnsi"/>
                <w:color w:val="000000"/>
                <w:lang w:val="fr-FR"/>
              </w:rPr>
            </w:pPr>
          </w:p>
        </w:tc>
        <w:tc>
          <w:tcPr>
            <w:tcW w:w="1666" w:type="pct"/>
            <w:vMerge/>
          </w:tcPr>
          <w:p w14:paraId="61CABA33" w14:textId="77777777" w:rsidR="00A454B0" w:rsidRPr="00D15745" w:rsidRDefault="00A454B0" w:rsidP="00921BF8">
            <w:pPr>
              <w:autoSpaceDE w:val="0"/>
              <w:autoSpaceDN w:val="0"/>
              <w:adjustRightInd w:val="0"/>
              <w:spacing w:after="120" w:line="276" w:lineRule="auto"/>
              <w:rPr>
                <w:rFonts w:cstheme="minorHAnsi"/>
                <w:color w:val="000000"/>
                <w:lang w:val="fr-FR"/>
              </w:rPr>
            </w:pPr>
          </w:p>
        </w:tc>
      </w:tr>
      <w:tr w:rsidR="00896FB7" w:rsidRPr="00EE1EE3" w14:paraId="20F1A022" w14:textId="77777777" w:rsidTr="00921BF8">
        <w:tc>
          <w:tcPr>
            <w:tcW w:w="1667" w:type="pct"/>
            <w:shd w:val="clear" w:color="auto" w:fill="EDEDED"/>
          </w:tcPr>
          <w:p w14:paraId="39EEE795"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centre</w:t>
            </w:r>
            <w:proofErr w:type="gramEnd"/>
            <w:r>
              <w:rPr>
                <w:rFonts w:ascii="Calibri" w:eastAsia="Calibri" w:hAnsi="Calibri" w:cs="Calibri"/>
                <w:b/>
                <w:bCs/>
                <w:color w:val="000000"/>
                <w:lang w:val="fr-FR"/>
              </w:rPr>
              <w:t xml:space="preserve"> de traitement</w:t>
            </w:r>
          </w:p>
        </w:tc>
        <w:tc>
          <w:tcPr>
            <w:tcW w:w="1667" w:type="pct"/>
            <w:shd w:val="clear" w:color="auto" w:fill="EDEDED"/>
          </w:tcPr>
          <w:p w14:paraId="1D3715E6"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centre</w:t>
            </w:r>
            <w:proofErr w:type="gramEnd"/>
            <w:r>
              <w:rPr>
                <w:rFonts w:ascii="Calibri" w:eastAsia="Calibri" w:hAnsi="Calibri" w:cs="Calibri"/>
                <w:color w:val="000000"/>
                <w:lang w:val="fr-FR"/>
              </w:rPr>
              <w:t xml:space="preserve"> de réadaptation</w:t>
            </w:r>
          </w:p>
          <w:p w14:paraId="654FD911"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centre</w:t>
            </w:r>
            <w:proofErr w:type="gramEnd"/>
            <w:r>
              <w:rPr>
                <w:rFonts w:ascii="Calibri" w:eastAsia="Calibri" w:hAnsi="Calibri" w:cs="Calibri"/>
                <w:color w:val="000000"/>
                <w:lang w:val="fr-FR"/>
              </w:rPr>
              <w:t xml:space="preserve"> de désintoxication</w:t>
            </w:r>
          </w:p>
        </w:tc>
        <w:tc>
          <w:tcPr>
            <w:tcW w:w="1666" w:type="pct"/>
            <w:shd w:val="clear" w:color="auto" w:fill="EDEDED"/>
          </w:tcPr>
          <w:p w14:paraId="43474A13"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Centre de réadaptation » et « centre de désintoxication » renforcent la stigmatisation culturelle et véhiculent des idées fausses.</w:t>
            </w:r>
          </w:p>
        </w:tc>
      </w:tr>
      <w:tr w:rsidR="00896FB7" w:rsidRPr="00EE1EE3" w14:paraId="7299568D" w14:textId="77777777" w:rsidTr="00921BF8">
        <w:tc>
          <w:tcPr>
            <w:tcW w:w="1667" w:type="pct"/>
          </w:tcPr>
          <w:p w14:paraId="7098FB09"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en convalescence</w:t>
            </w:r>
          </w:p>
        </w:tc>
        <w:tc>
          <w:tcPr>
            <w:tcW w:w="1667" w:type="pct"/>
          </w:tcPr>
          <w:p w14:paraId="37E37B6F"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ancien</w:t>
            </w:r>
            <w:proofErr w:type="gramEnd"/>
            <w:r>
              <w:rPr>
                <w:rFonts w:ascii="Calibri" w:eastAsia="Calibri" w:hAnsi="Calibri" w:cs="Calibri"/>
                <w:color w:val="000000"/>
                <w:lang w:val="fr-FR"/>
              </w:rPr>
              <w:t xml:space="preserve"> toxicomane/alcoolique</w:t>
            </w:r>
          </w:p>
          <w:p w14:paraId="2D033235"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toxicomane</w:t>
            </w:r>
            <w:proofErr w:type="gramEnd"/>
            <w:r>
              <w:rPr>
                <w:rFonts w:ascii="Calibri" w:eastAsia="Calibri" w:hAnsi="Calibri" w:cs="Calibri"/>
                <w:color w:val="000000"/>
                <w:lang w:val="fr-FR"/>
              </w:rPr>
              <w:t>/alcoolique rétabli</w:t>
            </w:r>
          </w:p>
          <w:p w14:paraId="6EA9EFC5"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ex</w:t>
            </w:r>
            <w:proofErr w:type="gramEnd"/>
            <w:r>
              <w:rPr>
                <w:rFonts w:ascii="Calibri" w:eastAsia="Calibri" w:hAnsi="Calibri" w:cs="Calibri"/>
                <w:color w:val="000000"/>
                <w:lang w:val="fr-FR"/>
              </w:rPr>
              <w:t xml:space="preserve"> toxicomane/alcoolique</w:t>
            </w:r>
          </w:p>
        </w:tc>
        <w:tc>
          <w:tcPr>
            <w:tcW w:w="1666" w:type="pct"/>
          </w:tcPr>
          <w:p w14:paraId="08605494"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Ces termes axés sur la personne respectent la croyance de nombreux cliniciens et personnes atteintes de troubles liés à la consommation de substances selon laquelle le rétablissement est un processus continu et variable. Certaines personnes peuvent revendiquer le terme de « toxicomane » mais il convient toujours d’obtenir leur consentement avant de l’utiliser.</w:t>
            </w:r>
          </w:p>
        </w:tc>
      </w:tr>
    </w:tbl>
    <w:p w14:paraId="7F9A668A" w14:textId="77777777" w:rsidR="00AA4320" w:rsidRPr="00D15745" w:rsidRDefault="00AA4320" w:rsidP="00417223">
      <w:pPr>
        <w:spacing w:after="0" w:line="276" w:lineRule="auto"/>
        <w:rPr>
          <w:rFonts w:cstheme="minorHAnsi"/>
          <w:lang w:val="fr-FR"/>
        </w:rPr>
      </w:pPr>
    </w:p>
    <w:p w14:paraId="615CBE22" w14:textId="77777777"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Dépendance et addiction</w:t>
      </w:r>
    </w:p>
    <w:p w14:paraId="3DF6FDE3"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Dépendance » et « addiction » sont des termes apparentés mais souvent confondus. L’addiction est définie comme la consommation compulsive de substances caractérisée par une modification du comportement causée par des changements biochimiques dans le cerveau, malgré les conséquences négatives liées à cette consommation de substances. L’addiction n'est pas un terme de diagnostic mais est considérée comme synonyme de trouble de la consommation de substances modéré à grave. La dépendance, cependant, se caractérise par des symptômes de sevrage physiques. Il est important de noter qu'il est possible pour une personne d'être dépendante d'une substance utilisée à des fins médicales sans addiction. Il est préférable de définir explicitement ces termes ou de les éviter.</w:t>
      </w:r>
    </w:p>
    <w:p w14:paraId="4776B7A5" w14:textId="77777777" w:rsidR="00AB4D1F" w:rsidRPr="00D15745" w:rsidRDefault="00AB4D1F" w:rsidP="00417223">
      <w:pPr>
        <w:pStyle w:val="Default"/>
        <w:spacing w:after="120" w:line="276" w:lineRule="auto"/>
        <w:rPr>
          <w:rFonts w:asciiTheme="minorHAnsi" w:hAnsiTheme="minorHAnsi" w:cstheme="minorHAnsi"/>
          <w:sz w:val="22"/>
          <w:szCs w:val="22"/>
          <w:lang w:val="fr-FR"/>
        </w:rPr>
      </w:pPr>
    </w:p>
    <w:p w14:paraId="3070080A" w14:textId="7A1F5613"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 xml:space="preserve">Mésusage de </w:t>
      </w:r>
      <w:r w:rsidR="005F15B0">
        <w:rPr>
          <w:rFonts w:ascii="Calibri" w:eastAsia="Calibri" w:hAnsi="Calibri" w:cs="Calibri"/>
          <w:b/>
          <w:bCs/>
          <w:color w:val="2E74B5"/>
          <w:sz w:val="28"/>
          <w:szCs w:val="28"/>
          <w:lang w:val="fr-FR"/>
        </w:rPr>
        <w:t>médicaments</w:t>
      </w:r>
    </w:p>
    <w:p w14:paraId="54F12BF7" w14:textId="5FB2FDAF"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Bien que le terme « abus de </w:t>
      </w:r>
      <w:r w:rsidR="005F15B0">
        <w:rPr>
          <w:rFonts w:ascii="Calibri" w:eastAsia="Calibri" w:hAnsi="Calibri" w:cs="Calibri"/>
          <w:sz w:val="22"/>
          <w:szCs w:val="22"/>
          <w:lang w:val="fr-FR"/>
        </w:rPr>
        <w:t>médicaments </w:t>
      </w:r>
      <w:r>
        <w:rPr>
          <w:rFonts w:ascii="Calibri" w:eastAsia="Calibri" w:hAnsi="Calibri" w:cs="Calibri"/>
          <w:sz w:val="22"/>
          <w:szCs w:val="22"/>
          <w:lang w:val="fr-FR"/>
        </w:rPr>
        <w:t xml:space="preserve">» soit généralement décrié, il existe un désaccord sur l'utilité de « mésusage de </w:t>
      </w:r>
      <w:r w:rsidR="005F15B0">
        <w:rPr>
          <w:rFonts w:ascii="Calibri" w:eastAsia="Calibri" w:hAnsi="Calibri" w:cs="Calibri"/>
          <w:sz w:val="22"/>
          <w:szCs w:val="22"/>
          <w:lang w:val="fr-FR"/>
        </w:rPr>
        <w:t>médicaments </w:t>
      </w:r>
      <w:r>
        <w:rPr>
          <w:rFonts w:ascii="Calibri" w:eastAsia="Calibri" w:hAnsi="Calibri" w:cs="Calibri"/>
          <w:sz w:val="22"/>
          <w:szCs w:val="22"/>
          <w:lang w:val="fr-FR"/>
        </w:rPr>
        <w:t xml:space="preserve">». De nombreuses personnes trouvent ce terme utile lorsqu'elles évoquent les substances à usage médical ou illicite tels que les opioïdes sur ordonnance. D'autres affirment que ce terme suggère une faute de la part des personnes atteintes de troubles liés à la </w:t>
      </w:r>
      <w:r>
        <w:rPr>
          <w:rFonts w:ascii="Calibri" w:eastAsia="Calibri" w:hAnsi="Calibri" w:cs="Calibri"/>
          <w:sz w:val="22"/>
          <w:szCs w:val="22"/>
          <w:lang w:val="fr-FR"/>
        </w:rPr>
        <w:lastRenderedPageBreak/>
        <w:t>consommation de substances et crée une stigmatisation selon laquelle elles pourraient mériter les conséquences de ce type d</w:t>
      </w:r>
      <w:proofErr w:type="gramStart"/>
      <w:r w:rsidR="00D36D3C">
        <w:rPr>
          <w:rFonts w:ascii="Calibri" w:eastAsia="Calibri" w:hAnsi="Calibri" w:cs="Calibri"/>
          <w:sz w:val="22"/>
          <w:szCs w:val="22"/>
          <w:lang w:val="fr-FR"/>
        </w:rPr>
        <w:t>’</w:t>
      </w:r>
      <w:r>
        <w:rPr>
          <w:rFonts w:ascii="Calibri" w:eastAsia="Calibri" w:hAnsi="Calibri" w:cs="Calibri"/>
          <w:sz w:val="22"/>
          <w:szCs w:val="22"/>
          <w:lang w:val="fr-FR"/>
        </w:rPr>
        <w:t>«</w:t>
      </w:r>
      <w:proofErr w:type="gramEnd"/>
      <w:r>
        <w:rPr>
          <w:rFonts w:ascii="Calibri" w:eastAsia="Calibri" w:hAnsi="Calibri" w:cs="Calibri"/>
          <w:sz w:val="22"/>
          <w:szCs w:val="22"/>
          <w:lang w:val="fr-FR"/>
        </w:rPr>
        <w:t> abus ».</w:t>
      </w:r>
    </w:p>
    <w:p w14:paraId="433095BF" w14:textId="516FCEFA" w:rsidR="00AB4D1F" w:rsidRPr="00D15745" w:rsidRDefault="007350F8" w:rsidP="00417223">
      <w:pPr>
        <w:spacing w:after="120" w:line="276" w:lineRule="auto"/>
        <w:rPr>
          <w:rFonts w:cstheme="minorHAnsi"/>
          <w:lang w:val="fr-FR"/>
        </w:rPr>
      </w:pPr>
      <w:r>
        <w:rPr>
          <w:rFonts w:ascii="Calibri" w:eastAsia="Calibri" w:hAnsi="Calibri" w:cs="Calibri"/>
          <w:lang w:val="fr-FR"/>
        </w:rPr>
        <w:t>Quoi qu'il en soit, il est important de ne pas utiliser indifféremment les termes « abus » et « trouble lié à la consommation de substances » car toutes les personnes qui consomment des substances à des fins récréatives ne souffrent pas d'un trouble lié à la consommation de substances ou n'ont pas besoin d'un traitement pour cesser leur consommation. Par exemple, une seule consommation excessive d'alcool est considérée comme un abus d'alcool, mais elle ne reflète pas forcément un trouble de la consommation d'alcool chez une personne donnée.</w:t>
      </w:r>
    </w:p>
    <w:p w14:paraId="39ED9342" w14:textId="77777777" w:rsidR="00AB4D1F" w:rsidRPr="00D15745" w:rsidRDefault="00AB4D1F" w:rsidP="00417223">
      <w:pPr>
        <w:spacing w:after="120" w:line="276" w:lineRule="auto"/>
        <w:rPr>
          <w:rFonts w:cstheme="minorHAnsi"/>
          <w:lang w:val="fr-FR"/>
        </w:rPr>
        <w:sectPr w:rsidR="00AB4D1F" w:rsidRPr="00D15745" w:rsidSect="002229B4">
          <w:headerReference w:type="default" r:id="rId41"/>
          <w:pgSz w:w="12240" w:h="15840"/>
          <w:pgMar w:top="1440" w:right="1440" w:bottom="1440" w:left="1440" w:header="720" w:footer="720" w:gutter="0"/>
          <w:cols w:space="720"/>
          <w:docGrid w:linePitch="360"/>
        </w:sectPr>
      </w:pPr>
    </w:p>
    <w:p w14:paraId="6A3720C4" w14:textId="52E72297" w:rsidR="00AA4320" w:rsidRPr="00D15745" w:rsidRDefault="007350F8" w:rsidP="00821716">
      <w:pPr>
        <w:pStyle w:val="Heading1"/>
        <w:rPr>
          <w:lang w:val="fr-FR"/>
        </w:rPr>
      </w:pPr>
      <w:bookmarkStart w:id="8" w:name="_Toc39003307"/>
      <w:r>
        <w:rPr>
          <w:rFonts w:ascii="Calibri" w:eastAsia="Calibri" w:hAnsi="Calibri" w:cs="Calibri"/>
          <w:bCs/>
          <w:lang w:val="fr-FR"/>
        </w:rPr>
        <w:lastRenderedPageBreak/>
        <w:t>Termes et sujets divers</w:t>
      </w:r>
      <w:bookmarkEnd w:id="8"/>
    </w:p>
    <w:p w14:paraId="5FF0FE94" w14:textId="77777777" w:rsidR="00AB4D1F" w:rsidRPr="00D15745" w:rsidRDefault="00AB4D1F" w:rsidP="00417223">
      <w:pPr>
        <w:pStyle w:val="Default"/>
        <w:spacing w:line="276" w:lineRule="auto"/>
        <w:rPr>
          <w:rFonts w:asciiTheme="minorHAnsi" w:hAnsiTheme="minorHAnsi" w:cstheme="minorHAnsi"/>
          <w:sz w:val="22"/>
          <w:szCs w:val="22"/>
          <w:lang w:val="fr-FR"/>
        </w:rPr>
      </w:pPr>
    </w:p>
    <w:p w14:paraId="3B636BE0" w14:textId="2B6BA82D" w:rsidR="00AB4D1F" w:rsidRPr="00D15745" w:rsidRDefault="007350F8" w:rsidP="00417223">
      <w:pPr>
        <w:pStyle w:val="Default"/>
        <w:spacing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Les termes et sujets suivants figurent dans ce guide car ils sont déjà apparus dans des communications liées à la recherche sur le VIH. L'inclusion d'une population ou d'un groupe dans cette section n'indique pas nécessairement que cette population ou ce groupe a une incidence élevée du VIH ou </w:t>
      </w:r>
      <w:proofErr w:type="spellStart"/>
      <w:r>
        <w:rPr>
          <w:rFonts w:ascii="Calibri" w:eastAsia="Calibri" w:hAnsi="Calibri" w:cs="Calibri"/>
          <w:sz w:val="22"/>
          <w:szCs w:val="22"/>
          <w:lang w:val="fr-FR"/>
        </w:rPr>
        <w:t>a</w:t>
      </w:r>
      <w:proofErr w:type="spellEnd"/>
      <w:r>
        <w:rPr>
          <w:rFonts w:ascii="Calibri" w:eastAsia="Calibri" w:hAnsi="Calibri" w:cs="Calibri"/>
          <w:sz w:val="22"/>
          <w:szCs w:val="22"/>
          <w:lang w:val="fr-FR"/>
        </w:rPr>
        <w:t xml:space="preserve"> un comportement vulnérable au VIH.</w:t>
      </w:r>
    </w:p>
    <w:p w14:paraId="702E50BB" w14:textId="77777777" w:rsidR="00AB4D1F" w:rsidRPr="00D15745" w:rsidRDefault="00AB4D1F" w:rsidP="00417223">
      <w:pPr>
        <w:pStyle w:val="Default"/>
        <w:spacing w:line="276" w:lineRule="auto"/>
        <w:rPr>
          <w:rFonts w:asciiTheme="minorHAnsi" w:hAnsiTheme="minorHAnsi" w:cstheme="minorHAnsi"/>
          <w:sz w:val="22"/>
          <w:szCs w:val="22"/>
          <w:lang w:val="fr-FR"/>
        </w:rPr>
      </w:pPr>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896FB7" w14:paraId="0F4AA199" w14:textId="77777777" w:rsidTr="00921BF8">
        <w:trPr>
          <w:tblHeader/>
        </w:trPr>
        <w:tc>
          <w:tcPr>
            <w:tcW w:w="1667" w:type="pct"/>
            <w:tcBorders>
              <w:top w:val="nil"/>
              <w:left w:val="nil"/>
              <w:bottom w:val="single" w:sz="18" w:space="0" w:color="C9C9C9"/>
            </w:tcBorders>
          </w:tcPr>
          <w:p w14:paraId="3BDC0667" w14:textId="77777777" w:rsidR="00AA4320" w:rsidRPr="00727EC8" w:rsidRDefault="007350F8" w:rsidP="00921BF8">
            <w:pPr>
              <w:pStyle w:val="Default"/>
              <w:spacing w:after="120" w:line="276" w:lineRule="auto"/>
              <w:rPr>
                <w:rFonts w:asciiTheme="minorHAnsi" w:hAnsiTheme="minorHAnsi" w:cstheme="minorHAnsi"/>
                <w:b/>
                <w:sz w:val="22"/>
                <w:szCs w:val="22"/>
              </w:rPr>
            </w:pPr>
            <w:r>
              <w:rPr>
                <w:rFonts w:ascii="Calibri" w:eastAsia="Calibri" w:hAnsi="Calibri" w:cs="Calibri"/>
                <w:b/>
                <w:bCs/>
                <w:i/>
                <w:iCs/>
                <w:sz w:val="22"/>
                <w:szCs w:val="22"/>
                <w:lang w:val="fr-FR"/>
              </w:rPr>
              <w:t>Essayez plutôt ceci…</w:t>
            </w:r>
          </w:p>
        </w:tc>
        <w:tc>
          <w:tcPr>
            <w:tcW w:w="1667" w:type="pct"/>
            <w:tcBorders>
              <w:top w:val="nil"/>
              <w:bottom w:val="single" w:sz="18" w:space="0" w:color="C9C9C9"/>
            </w:tcBorders>
          </w:tcPr>
          <w:p w14:paraId="02EE69A0" w14:textId="77777777" w:rsidR="00AA4320" w:rsidRPr="00727EC8" w:rsidRDefault="007350F8" w:rsidP="00921BF8">
            <w:pPr>
              <w:pStyle w:val="Default"/>
              <w:spacing w:after="120" w:line="276" w:lineRule="auto"/>
              <w:rPr>
                <w:rFonts w:asciiTheme="minorHAnsi" w:hAnsiTheme="minorHAnsi" w:cstheme="minorHAnsi"/>
                <w:b/>
                <w:sz w:val="22"/>
                <w:szCs w:val="22"/>
              </w:rPr>
            </w:pPr>
            <w:r>
              <w:rPr>
                <w:rFonts w:ascii="Calibri" w:eastAsia="Calibri" w:hAnsi="Calibri" w:cs="Calibri"/>
                <w:b/>
                <w:bCs/>
                <w:i/>
                <w:iCs/>
                <w:sz w:val="22"/>
                <w:szCs w:val="22"/>
                <w:lang w:val="fr-FR"/>
              </w:rPr>
              <w:t>Au lieu de cela…</w:t>
            </w:r>
          </w:p>
        </w:tc>
        <w:tc>
          <w:tcPr>
            <w:tcW w:w="1666" w:type="pct"/>
            <w:tcBorders>
              <w:top w:val="nil"/>
              <w:bottom w:val="single" w:sz="18" w:space="0" w:color="C9C9C9"/>
              <w:right w:val="nil"/>
            </w:tcBorders>
          </w:tcPr>
          <w:p w14:paraId="0F56C830" w14:textId="77777777" w:rsidR="00AA4320" w:rsidRPr="00727EC8" w:rsidRDefault="007350F8" w:rsidP="00921BF8">
            <w:pPr>
              <w:pStyle w:val="Default"/>
              <w:spacing w:after="120" w:line="276" w:lineRule="auto"/>
              <w:rPr>
                <w:rFonts w:asciiTheme="minorHAnsi" w:hAnsiTheme="minorHAnsi" w:cstheme="minorHAnsi"/>
                <w:sz w:val="22"/>
                <w:szCs w:val="22"/>
              </w:rPr>
            </w:pPr>
            <w:r>
              <w:rPr>
                <w:rFonts w:ascii="Calibri" w:eastAsia="Calibri" w:hAnsi="Calibri" w:cs="Calibri"/>
                <w:b/>
                <w:bCs/>
                <w:i/>
                <w:iCs/>
                <w:sz w:val="22"/>
                <w:szCs w:val="22"/>
                <w:lang w:val="fr-FR"/>
              </w:rPr>
              <w:t>Parce que...</w:t>
            </w:r>
          </w:p>
        </w:tc>
      </w:tr>
      <w:tr w:rsidR="00896FB7" w:rsidRPr="00371DEE" w14:paraId="370FDFE8" w14:textId="77777777" w:rsidTr="00921BF8">
        <w:tc>
          <w:tcPr>
            <w:tcW w:w="1667" w:type="pct"/>
            <w:tcBorders>
              <w:top w:val="single" w:sz="18" w:space="0" w:color="C9C9C9"/>
            </w:tcBorders>
            <w:shd w:val="clear" w:color="auto" w:fill="EDEDED"/>
          </w:tcPr>
          <w:p w14:paraId="3D2631FD" w14:textId="70BAFA03" w:rsidR="00111F85" w:rsidRPr="00727EC8" w:rsidRDefault="003805C5" w:rsidP="00921BF8">
            <w:pPr>
              <w:pStyle w:val="Default"/>
              <w:spacing w:after="120" w:line="276" w:lineRule="auto"/>
              <w:rPr>
                <w:rFonts w:asciiTheme="minorHAnsi" w:hAnsiTheme="minorHAnsi" w:cstheme="minorHAnsi"/>
                <w:b/>
                <w:sz w:val="22"/>
                <w:szCs w:val="22"/>
              </w:rPr>
            </w:pPr>
            <w:proofErr w:type="spellStart"/>
            <w:r>
              <w:rPr>
                <w:rFonts w:ascii="Calibri" w:eastAsia="Calibri" w:hAnsi="Calibri" w:cs="Calibri"/>
                <w:b/>
                <w:bCs/>
                <w:sz w:val="22"/>
                <w:szCs w:val="22"/>
                <w:lang w:val="fr-FR"/>
              </w:rPr>
              <w:t>T</w:t>
            </w:r>
            <w:r w:rsidR="007350F8">
              <w:rPr>
                <w:rFonts w:ascii="Calibri" w:eastAsia="Calibri" w:hAnsi="Calibri" w:cs="Calibri"/>
                <w:b/>
                <w:bCs/>
                <w:sz w:val="22"/>
                <w:szCs w:val="22"/>
                <w:lang w:val="fr-FR"/>
              </w:rPr>
              <w:t>ravailleur</w:t>
            </w:r>
            <w:r w:rsidR="005F15B0">
              <w:rPr>
                <w:rFonts w:ascii="Calibri" w:eastAsia="Calibri" w:hAnsi="Calibri" w:cs="Calibri"/>
                <w:b/>
                <w:bCs/>
                <w:sz w:val="22"/>
                <w:szCs w:val="22"/>
                <w:lang w:val="fr-FR"/>
              </w:rPr>
              <w:t>•</w:t>
            </w:r>
            <w:r>
              <w:rPr>
                <w:rFonts w:ascii="Calibri" w:eastAsia="Calibri" w:hAnsi="Calibri" w:cs="Calibri"/>
                <w:b/>
                <w:bCs/>
                <w:sz w:val="22"/>
                <w:szCs w:val="22"/>
                <w:lang w:val="fr-FR"/>
              </w:rPr>
              <w:t>euse</w:t>
            </w:r>
            <w:proofErr w:type="spellEnd"/>
            <w:r w:rsidR="007350F8">
              <w:rPr>
                <w:rFonts w:ascii="Calibri" w:eastAsia="Calibri" w:hAnsi="Calibri" w:cs="Calibri"/>
                <w:b/>
                <w:bCs/>
                <w:sz w:val="22"/>
                <w:szCs w:val="22"/>
                <w:lang w:val="fr-FR"/>
              </w:rPr>
              <w:t xml:space="preserve"> du sexe</w:t>
            </w:r>
          </w:p>
        </w:tc>
        <w:tc>
          <w:tcPr>
            <w:tcW w:w="1667" w:type="pct"/>
            <w:tcBorders>
              <w:top w:val="single" w:sz="18" w:space="0" w:color="C9C9C9"/>
            </w:tcBorders>
            <w:shd w:val="clear" w:color="auto" w:fill="EDEDED"/>
          </w:tcPr>
          <w:p w14:paraId="7D5894B8" w14:textId="2F96EE00" w:rsidR="00111F85" w:rsidRPr="00727EC8" w:rsidRDefault="005F15B0" w:rsidP="00921BF8">
            <w:pPr>
              <w:pStyle w:val="Default"/>
              <w:spacing w:after="120" w:line="276" w:lineRule="auto"/>
              <w:rPr>
                <w:rFonts w:asciiTheme="minorHAnsi" w:hAnsiTheme="minorHAnsi" w:cstheme="minorHAnsi"/>
                <w:b/>
                <w:sz w:val="22"/>
                <w:szCs w:val="22"/>
              </w:rPr>
            </w:pPr>
            <w:proofErr w:type="spellStart"/>
            <w:r>
              <w:rPr>
                <w:rFonts w:ascii="Calibri" w:eastAsia="Calibri" w:hAnsi="Calibri" w:cs="Calibri"/>
                <w:sz w:val="22"/>
                <w:szCs w:val="22"/>
                <w:lang w:val="fr-FR"/>
              </w:rPr>
              <w:t>P</w:t>
            </w:r>
            <w:r w:rsidR="007350F8">
              <w:rPr>
                <w:rFonts w:ascii="Calibri" w:eastAsia="Calibri" w:hAnsi="Calibri" w:cs="Calibri"/>
                <w:sz w:val="22"/>
                <w:szCs w:val="22"/>
                <w:lang w:val="fr-FR"/>
              </w:rPr>
              <w:t>rostitué</w:t>
            </w:r>
            <w:r>
              <w:rPr>
                <w:rFonts w:ascii="Calibri" w:eastAsia="Calibri" w:hAnsi="Calibri" w:cs="Calibri"/>
                <w:sz w:val="22"/>
                <w:szCs w:val="22"/>
                <w:lang w:val="fr-FR"/>
              </w:rPr>
              <w:t>•e</w:t>
            </w:r>
            <w:proofErr w:type="spellEnd"/>
          </w:p>
        </w:tc>
        <w:tc>
          <w:tcPr>
            <w:tcW w:w="1666" w:type="pct"/>
            <w:vMerge w:val="restart"/>
            <w:tcBorders>
              <w:top w:val="single" w:sz="18" w:space="0" w:color="C9C9C9"/>
            </w:tcBorders>
            <w:shd w:val="clear" w:color="auto" w:fill="EDEDED"/>
          </w:tcPr>
          <w:p w14:paraId="4A4E4091" w14:textId="77777777" w:rsidR="00111F85" w:rsidRPr="000A3DBB" w:rsidRDefault="007350F8" w:rsidP="00921BF8">
            <w:pPr>
              <w:pStyle w:val="Default"/>
              <w:spacing w:after="120" w:line="276" w:lineRule="auto"/>
              <w:rPr>
                <w:rFonts w:asciiTheme="minorHAnsi" w:hAnsiTheme="minorHAnsi" w:cstheme="minorHAnsi"/>
                <w:sz w:val="22"/>
                <w:szCs w:val="22"/>
                <w:lang w:val="fr-CH"/>
              </w:rPr>
            </w:pPr>
            <w:r>
              <w:rPr>
                <w:rFonts w:ascii="Calibri" w:eastAsia="Calibri" w:hAnsi="Calibri" w:cs="Calibri"/>
                <w:sz w:val="22"/>
                <w:szCs w:val="22"/>
                <w:lang w:val="fr-FR"/>
              </w:rPr>
              <w:t>Le « travail du sexe » implique que la personne a choisi d’exercer cette activité professionnelle tandis que la « prostitution » et ses dérivés sont porteurs de stigmates culturels solidement ancrés. Parler de « travail du sexe » commercial est redondant.</w:t>
            </w:r>
          </w:p>
        </w:tc>
      </w:tr>
      <w:tr w:rsidR="00896FB7" w:rsidRPr="00EE1EE3" w14:paraId="3EC0DBEA" w14:textId="77777777" w:rsidTr="00921BF8">
        <w:tc>
          <w:tcPr>
            <w:tcW w:w="1667" w:type="pct"/>
            <w:shd w:val="clear" w:color="auto" w:fill="EDEDED"/>
          </w:tcPr>
          <w:p w14:paraId="770D89F7" w14:textId="77777777" w:rsidR="00111F85"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travail</w:t>
            </w:r>
            <w:proofErr w:type="gramEnd"/>
            <w:r>
              <w:rPr>
                <w:rFonts w:ascii="Calibri" w:eastAsia="Calibri" w:hAnsi="Calibri" w:cs="Calibri"/>
                <w:b/>
                <w:bCs/>
                <w:sz w:val="22"/>
                <w:szCs w:val="22"/>
                <w:lang w:val="fr-FR"/>
              </w:rPr>
              <w:t xml:space="preserve"> du sexe</w:t>
            </w:r>
          </w:p>
          <w:p w14:paraId="5D72BBE5" w14:textId="77777777" w:rsidR="00111F85"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b/>
                <w:bCs/>
                <w:sz w:val="22"/>
                <w:szCs w:val="22"/>
                <w:lang w:val="fr-FR"/>
              </w:rPr>
              <w:t>sexe</w:t>
            </w:r>
            <w:proofErr w:type="gramEnd"/>
            <w:r>
              <w:rPr>
                <w:rFonts w:ascii="Calibri" w:eastAsia="Calibri" w:hAnsi="Calibri" w:cs="Calibri"/>
                <w:b/>
                <w:bCs/>
                <w:sz w:val="22"/>
                <w:szCs w:val="22"/>
                <w:lang w:val="fr-FR"/>
              </w:rPr>
              <w:t xml:space="preserve"> transactionnel</w:t>
            </w:r>
          </w:p>
          <w:p w14:paraId="159F2114" w14:textId="77777777" w:rsidR="00111F85" w:rsidRPr="00D15745" w:rsidRDefault="007350F8" w:rsidP="00921BF8">
            <w:pPr>
              <w:pStyle w:val="Default"/>
              <w:spacing w:after="120" w:line="276" w:lineRule="auto"/>
              <w:rPr>
                <w:rFonts w:asciiTheme="minorHAnsi" w:hAnsiTheme="minorHAnsi" w:cstheme="minorHAnsi"/>
                <w:b/>
                <w:bCs/>
                <w:sz w:val="22"/>
                <w:szCs w:val="22"/>
                <w:lang w:val="fr-FR"/>
              </w:rPr>
            </w:pPr>
            <w:proofErr w:type="gramStart"/>
            <w:r>
              <w:rPr>
                <w:rFonts w:ascii="Calibri" w:eastAsia="Calibri" w:hAnsi="Calibri" w:cs="Calibri"/>
                <w:b/>
                <w:bCs/>
                <w:sz w:val="22"/>
                <w:szCs w:val="22"/>
                <w:lang w:val="fr-FR"/>
              </w:rPr>
              <w:t>vente</w:t>
            </w:r>
            <w:proofErr w:type="gramEnd"/>
            <w:r>
              <w:rPr>
                <w:rFonts w:ascii="Calibri" w:eastAsia="Calibri" w:hAnsi="Calibri" w:cs="Calibri"/>
                <w:b/>
                <w:bCs/>
                <w:sz w:val="22"/>
                <w:szCs w:val="22"/>
                <w:lang w:val="fr-FR"/>
              </w:rPr>
              <w:t xml:space="preserve"> de services sexuels</w:t>
            </w:r>
          </w:p>
        </w:tc>
        <w:tc>
          <w:tcPr>
            <w:tcW w:w="1667" w:type="pct"/>
            <w:shd w:val="clear" w:color="auto" w:fill="EDEDED"/>
          </w:tcPr>
          <w:p w14:paraId="14C4AA6D" w14:textId="77777777" w:rsidR="00111F85" w:rsidRPr="00D15745" w:rsidRDefault="007350F8" w:rsidP="00921BF8">
            <w:pPr>
              <w:pStyle w:val="Default"/>
              <w:spacing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prostitution</w:t>
            </w:r>
            <w:proofErr w:type="gramEnd"/>
          </w:p>
          <w:p w14:paraId="57CAC6E0" w14:textId="77777777" w:rsidR="00111F85" w:rsidRPr="00D15745" w:rsidRDefault="007350F8" w:rsidP="00921BF8">
            <w:pPr>
              <w:pStyle w:val="Default"/>
              <w:spacing w:after="120" w:line="276" w:lineRule="auto"/>
              <w:rPr>
                <w:rFonts w:asciiTheme="minorHAnsi" w:hAnsiTheme="minorHAnsi" w:cstheme="minorHAnsi"/>
                <w:sz w:val="22"/>
                <w:szCs w:val="22"/>
                <w:lang w:val="fr-FR"/>
              </w:rPr>
            </w:pPr>
            <w:proofErr w:type="gramStart"/>
            <w:r>
              <w:rPr>
                <w:rFonts w:ascii="Calibri" w:eastAsia="Calibri" w:hAnsi="Calibri" w:cs="Calibri"/>
                <w:sz w:val="22"/>
                <w:szCs w:val="22"/>
                <w:lang w:val="fr-FR"/>
              </w:rPr>
              <w:t>travail</w:t>
            </w:r>
            <w:proofErr w:type="gramEnd"/>
            <w:r>
              <w:rPr>
                <w:rFonts w:ascii="Calibri" w:eastAsia="Calibri" w:hAnsi="Calibri" w:cs="Calibri"/>
                <w:sz w:val="22"/>
                <w:szCs w:val="22"/>
                <w:lang w:val="fr-FR"/>
              </w:rPr>
              <w:t xml:space="preserve"> du sexe commercial</w:t>
            </w:r>
          </w:p>
        </w:tc>
        <w:tc>
          <w:tcPr>
            <w:tcW w:w="1666" w:type="pct"/>
            <w:vMerge/>
            <w:shd w:val="clear" w:color="auto" w:fill="EDEDED"/>
          </w:tcPr>
          <w:p w14:paraId="193C70D2" w14:textId="77777777" w:rsidR="00111F85" w:rsidRPr="00D15745" w:rsidRDefault="00111F85" w:rsidP="00921BF8">
            <w:pPr>
              <w:pStyle w:val="Default"/>
              <w:spacing w:after="120" w:line="276" w:lineRule="auto"/>
              <w:rPr>
                <w:rFonts w:asciiTheme="minorHAnsi" w:hAnsiTheme="minorHAnsi" w:cstheme="minorHAnsi"/>
                <w:sz w:val="22"/>
                <w:szCs w:val="22"/>
                <w:lang w:val="fr-FR"/>
              </w:rPr>
            </w:pPr>
          </w:p>
        </w:tc>
      </w:tr>
      <w:tr w:rsidR="00896FB7" w14:paraId="4B4FDF45" w14:textId="77777777" w:rsidTr="00921BF8">
        <w:tc>
          <w:tcPr>
            <w:tcW w:w="1667" w:type="pct"/>
          </w:tcPr>
          <w:p w14:paraId="07C17F9F" w14:textId="5F1911CD" w:rsidR="000A3DBB" w:rsidRPr="00727EC8" w:rsidRDefault="00346DA3" w:rsidP="00921BF8">
            <w:pPr>
              <w:pStyle w:val="Default"/>
              <w:spacing w:after="120" w:line="276" w:lineRule="auto"/>
              <w:rPr>
                <w:rFonts w:asciiTheme="minorHAnsi" w:hAnsiTheme="minorHAnsi" w:cstheme="minorHAnsi"/>
                <w:sz w:val="22"/>
                <w:szCs w:val="22"/>
              </w:rPr>
            </w:pPr>
            <w:proofErr w:type="gramStart"/>
            <w:r w:rsidRPr="00346DA3">
              <w:rPr>
                <w:rFonts w:ascii="Calibri" w:eastAsia="Calibri" w:hAnsi="Calibri" w:cs="Calibri"/>
                <w:b/>
                <w:bCs/>
                <w:sz w:val="22"/>
                <w:szCs w:val="22"/>
                <w:lang w:val="fr-FR"/>
              </w:rPr>
              <w:t>traite</w:t>
            </w:r>
            <w:proofErr w:type="gramEnd"/>
            <w:r w:rsidRPr="00346DA3">
              <w:rPr>
                <w:rFonts w:ascii="Calibri" w:eastAsia="Calibri" w:hAnsi="Calibri" w:cs="Calibri"/>
                <w:b/>
                <w:bCs/>
                <w:sz w:val="22"/>
                <w:szCs w:val="22"/>
                <w:lang w:val="fr-FR"/>
              </w:rPr>
              <w:t xml:space="preserve"> des êtres humains à des fins d’</w:t>
            </w:r>
            <w:r>
              <w:rPr>
                <w:rFonts w:ascii="Calibri" w:eastAsia="Calibri" w:hAnsi="Calibri" w:cs="Calibri"/>
                <w:b/>
                <w:bCs/>
                <w:sz w:val="22"/>
                <w:szCs w:val="22"/>
                <w:lang w:val="fr-FR"/>
              </w:rPr>
              <w:t xml:space="preserve"> </w:t>
            </w:r>
            <w:r w:rsidRPr="00346DA3">
              <w:rPr>
                <w:rFonts w:ascii="Calibri" w:eastAsia="Calibri" w:hAnsi="Calibri" w:cs="Calibri"/>
                <w:b/>
                <w:bCs/>
                <w:sz w:val="22"/>
                <w:szCs w:val="22"/>
                <w:lang w:val="fr-FR"/>
              </w:rPr>
              <w:t>exploitation sexuelle</w:t>
            </w:r>
            <w:r>
              <w:rPr>
                <w:lang w:val="fr-CH"/>
              </w:rPr>
              <w:t> </w:t>
            </w:r>
          </w:p>
        </w:tc>
        <w:tc>
          <w:tcPr>
            <w:tcW w:w="1667" w:type="pct"/>
          </w:tcPr>
          <w:p w14:paraId="2549A18C" w14:textId="77777777" w:rsidR="00111F85" w:rsidRPr="00727EC8" w:rsidRDefault="007350F8" w:rsidP="00921BF8">
            <w:pPr>
              <w:pStyle w:val="Default"/>
              <w:spacing w:line="276" w:lineRule="auto"/>
              <w:rPr>
                <w:rFonts w:asciiTheme="minorHAnsi" w:hAnsiTheme="minorHAnsi" w:cstheme="minorHAnsi"/>
                <w:sz w:val="22"/>
                <w:szCs w:val="22"/>
              </w:rPr>
            </w:pPr>
            <w:proofErr w:type="gramStart"/>
            <w:r>
              <w:rPr>
                <w:rFonts w:ascii="Calibri" w:eastAsia="Calibri" w:hAnsi="Calibri" w:cs="Calibri"/>
                <w:sz w:val="22"/>
                <w:szCs w:val="22"/>
                <w:lang w:val="fr-FR"/>
              </w:rPr>
              <w:t>esclavage</w:t>
            </w:r>
            <w:proofErr w:type="gramEnd"/>
            <w:r>
              <w:rPr>
                <w:rFonts w:ascii="Calibri" w:eastAsia="Calibri" w:hAnsi="Calibri" w:cs="Calibri"/>
                <w:sz w:val="22"/>
                <w:szCs w:val="22"/>
                <w:lang w:val="fr-FR"/>
              </w:rPr>
              <w:t xml:space="preserve"> sexuel</w:t>
            </w:r>
          </w:p>
          <w:p w14:paraId="14C746D6" w14:textId="77777777" w:rsidR="00111F85" w:rsidRPr="00727EC8" w:rsidRDefault="007350F8" w:rsidP="00921BF8">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prostitution</w:t>
            </w:r>
            <w:proofErr w:type="gramEnd"/>
            <w:r>
              <w:rPr>
                <w:rFonts w:ascii="Calibri" w:eastAsia="Calibri" w:hAnsi="Calibri" w:cs="Calibri"/>
                <w:sz w:val="22"/>
                <w:szCs w:val="22"/>
                <w:lang w:val="fr-FR"/>
              </w:rPr>
              <w:t xml:space="preserve"> forcée</w:t>
            </w:r>
          </w:p>
        </w:tc>
        <w:tc>
          <w:tcPr>
            <w:tcW w:w="1666" w:type="pct"/>
            <w:vMerge w:val="restart"/>
          </w:tcPr>
          <w:p w14:paraId="3BF54474" w14:textId="4C354E57" w:rsidR="00111F85" w:rsidRPr="00727EC8" w:rsidRDefault="007350F8"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fr-FR"/>
              </w:rPr>
              <w:t xml:space="preserve">Dans le contexte des rapports sexuels transactionnels forcés ou contraints </w:t>
            </w:r>
            <w:r w:rsidR="00954574">
              <w:rPr>
                <w:rFonts w:ascii="Calibri" w:eastAsia="Calibri" w:hAnsi="Calibri" w:cs="Calibri"/>
                <w:sz w:val="22"/>
                <w:szCs w:val="22"/>
                <w:lang w:val="fr-FR"/>
              </w:rPr>
              <w:t xml:space="preserve">sur </w:t>
            </w:r>
            <w:r>
              <w:rPr>
                <w:rFonts w:ascii="Calibri" w:eastAsia="Calibri" w:hAnsi="Calibri" w:cs="Calibri"/>
                <w:sz w:val="22"/>
                <w:szCs w:val="22"/>
                <w:lang w:val="fr-FR"/>
              </w:rPr>
              <w:t>des mineurs, les termes préconisés soulignent le rôle des exploiteurs car les enfants ne peuvent pas être consentants lorsqu’il s’agit de travail du sexe. Certains membres de la communauté préfèrent l'expression « travail du sexe des jeunes » pour décrire les relations sexuelles transactionnelles de mineurs qui, selon eux, ne sont ni forcées ni contraintes. Ce concept est toutefois controversé.</w:t>
            </w:r>
          </w:p>
        </w:tc>
      </w:tr>
      <w:tr w:rsidR="00896FB7" w14:paraId="04E99C55" w14:textId="77777777" w:rsidTr="00921BF8">
        <w:tc>
          <w:tcPr>
            <w:tcW w:w="1667" w:type="pct"/>
          </w:tcPr>
          <w:p w14:paraId="52353EB2" w14:textId="2E938F29" w:rsidR="00111F85" w:rsidRPr="00727EC8" w:rsidRDefault="00111F85" w:rsidP="00921BF8">
            <w:pPr>
              <w:pStyle w:val="Default"/>
              <w:spacing w:after="120" w:line="276" w:lineRule="auto"/>
              <w:rPr>
                <w:rFonts w:asciiTheme="minorHAnsi" w:hAnsiTheme="minorHAnsi" w:cstheme="minorHAnsi"/>
                <w:sz w:val="22"/>
                <w:szCs w:val="22"/>
              </w:rPr>
            </w:pPr>
          </w:p>
        </w:tc>
        <w:tc>
          <w:tcPr>
            <w:tcW w:w="1667" w:type="pct"/>
          </w:tcPr>
          <w:p w14:paraId="5FB30A54" w14:textId="77777777" w:rsidR="00111F85" w:rsidRPr="00727EC8" w:rsidRDefault="007350F8" w:rsidP="00921BF8">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prostitution</w:t>
            </w:r>
            <w:proofErr w:type="gramEnd"/>
            <w:r>
              <w:rPr>
                <w:rFonts w:ascii="Calibri" w:eastAsia="Calibri" w:hAnsi="Calibri" w:cs="Calibri"/>
                <w:sz w:val="22"/>
                <w:szCs w:val="22"/>
                <w:lang w:val="fr-FR"/>
              </w:rPr>
              <w:t xml:space="preserve"> enfantine</w:t>
            </w:r>
          </w:p>
        </w:tc>
        <w:tc>
          <w:tcPr>
            <w:tcW w:w="1666" w:type="pct"/>
            <w:vMerge/>
          </w:tcPr>
          <w:p w14:paraId="72A02648" w14:textId="77777777" w:rsidR="00111F85" w:rsidRPr="00727EC8" w:rsidRDefault="00111F85" w:rsidP="00921BF8">
            <w:pPr>
              <w:pStyle w:val="Default"/>
              <w:spacing w:after="120" w:line="276" w:lineRule="auto"/>
              <w:rPr>
                <w:rFonts w:asciiTheme="minorHAnsi" w:hAnsiTheme="minorHAnsi" w:cstheme="minorHAnsi"/>
                <w:sz w:val="22"/>
                <w:szCs w:val="22"/>
              </w:rPr>
            </w:pPr>
          </w:p>
        </w:tc>
      </w:tr>
      <w:tr w:rsidR="00896FB7" w:rsidRPr="00EE1EE3" w14:paraId="58234C70" w14:textId="77777777" w:rsidTr="00921BF8">
        <w:tc>
          <w:tcPr>
            <w:tcW w:w="1667" w:type="pct"/>
            <w:shd w:val="clear" w:color="auto" w:fill="EDEDED"/>
          </w:tcPr>
          <w:p w14:paraId="111F2C3E" w14:textId="77777777" w:rsidR="00AA4320" w:rsidRPr="00727EC8" w:rsidRDefault="007350F8" w:rsidP="00921BF8">
            <w:pPr>
              <w:pStyle w:val="Default"/>
              <w:spacing w:after="120" w:line="276" w:lineRule="auto"/>
              <w:rPr>
                <w:rFonts w:asciiTheme="minorHAnsi" w:hAnsiTheme="minorHAnsi" w:cstheme="minorHAnsi"/>
                <w:b/>
                <w:sz w:val="22"/>
                <w:szCs w:val="22"/>
              </w:rPr>
            </w:pPr>
            <w:proofErr w:type="gramStart"/>
            <w:r w:rsidRPr="00346DA3">
              <w:rPr>
                <w:rFonts w:ascii="Calibri" w:eastAsia="Calibri" w:hAnsi="Calibri" w:cs="Calibri"/>
                <w:b/>
                <w:bCs/>
                <w:sz w:val="22"/>
                <w:szCs w:val="22"/>
                <w:lang w:val="fr-FR"/>
              </w:rPr>
              <w:t>survivant</w:t>
            </w:r>
            <w:proofErr w:type="gramEnd"/>
            <w:r>
              <w:rPr>
                <w:rFonts w:ascii="Calibri" w:eastAsia="Calibri" w:hAnsi="Calibri" w:cs="Calibri"/>
                <w:b/>
                <w:bCs/>
                <w:sz w:val="22"/>
                <w:szCs w:val="22"/>
                <w:lang w:val="fr-FR"/>
              </w:rPr>
              <w:t xml:space="preserve"> d'une agression sexuelle</w:t>
            </w:r>
          </w:p>
        </w:tc>
        <w:tc>
          <w:tcPr>
            <w:tcW w:w="1667" w:type="pct"/>
            <w:shd w:val="clear" w:color="auto" w:fill="EDEDED"/>
          </w:tcPr>
          <w:p w14:paraId="73F1054F" w14:textId="77777777" w:rsidR="00AA4320" w:rsidRPr="00727EC8" w:rsidRDefault="007350F8" w:rsidP="00921BF8">
            <w:pPr>
              <w:pStyle w:val="Default"/>
              <w:spacing w:after="120" w:line="276" w:lineRule="auto"/>
              <w:rPr>
                <w:rFonts w:asciiTheme="minorHAnsi" w:hAnsiTheme="minorHAnsi" w:cstheme="minorHAnsi"/>
                <w:b/>
                <w:sz w:val="22"/>
                <w:szCs w:val="22"/>
              </w:rPr>
            </w:pPr>
            <w:proofErr w:type="gramStart"/>
            <w:r>
              <w:rPr>
                <w:rFonts w:ascii="Calibri" w:eastAsia="Calibri" w:hAnsi="Calibri" w:cs="Calibri"/>
                <w:sz w:val="22"/>
                <w:szCs w:val="22"/>
                <w:lang w:val="fr-FR"/>
              </w:rPr>
              <w:t>victime</w:t>
            </w:r>
            <w:proofErr w:type="gramEnd"/>
            <w:r>
              <w:rPr>
                <w:rFonts w:ascii="Calibri" w:eastAsia="Calibri" w:hAnsi="Calibri" w:cs="Calibri"/>
                <w:sz w:val="22"/>
                <w:szCs w:val="22"/>
                <w:lang w:val="fr-FR"/>
              </w:rPr>
              <w:t xml:space="preserve"> de viol</w:t>
            </w:r>
          </w:p>
        </w:tc>
        <w:tc>
          <w:tcPr>
            <w:tcW w:w="1666" w:type="pct"/>
            <w:shd w:val="clear" w:color="auto" w:fill="EDEDED"/>
          </w:tcPr>
          <w:p w14:paraId="0065B026" w14:textId="77777777" w:rsidR="00AA4320" w:rsidRPr="00D15745" w:rsidRDefault="007350F8" w:rsidP="00921BF8">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Le mot « survivant » est plus fort que le mot « victime », qui évoque la défaite et l'impuissance. Lorsque vous </w:t>
            </w:r>
            <w:r>
              <w:rPr>
                <w:rFonts w:ascii="Calibri" w:eastAsia="Calibri" w:hAnsi="Calibri" w:cs="Calibri"/>
                <w:sz w:val="22"/>
                <w:szCs w:val="22"/>
                <w:lang w:val="fr-FR"/>
              </w:rPr>
              <w:lastRenderedPageBreak/>
              <w:t>faites référence à une personne spécifique, utilisez toujours un terme avec son accord.</w:t>
            </w:r>
          </w:p>
        </w:tc>
      </w:tr>
      <w:tr w:rsidR="00896FB7" w:rsidRPr="00EE1EE3" w14:paraId="00290BF3" w14:textId="77777777" w:rsidTr="00921BF8">
        <w:tc>
          <w:tcPr>
            <w:tcW w:w="1667" w:type="pct"/>
          </w:tcPr>
          <w:p w14:paraId="5D384C17" w14:textId="77777777" w:rsidR="00111F85" w:rsidRPr="00727EC8" w:rsidRDefault="007350F8" w:rsidP="00921BF8">
            <w:pPr>
              <w:pStyle w:val="Default"/>
              <w:spacing w:after="120"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lastRenderedPageBreak/>
              <w:t>violence</w:t>
            </w:r>
            <w:proofErr w:type="gramEnd"/>
            <w:r>
              <w:rPr>
                <w:rFonts w:ascii="Calibri" w:eastAsia="Calibri" w:hAnsi="Calibri" w:cs="Calibri"/>
                <w:b/>
                <w:bCs/>
                <w:sz w:val="22"/>
                <w:szCs w:val="22"/>
                <w:lang w:val="fr-FR"/>
              </w:rPr>
              <w:t xml:space="preserve"> entre partenaires</w:t>
            </w:r>
          </w:p>
        </w:tc>
        <w:tc>
          <w:tcPr>
            <w:tcW w:w="1667" w:type="pct"/>
          </w:tcPr>
          <w:p w14:paraId="53CBE9B1" w14:textId="77777777" w:rsidR="00111F85" w:rsidRPr="00727EC8" w:rsidRDefault="007350F8" w:rsidP="00921BF8">
            <w:pPr>
              <w:pStyle w:val="Default"/>
              <w:spacing w:after="120" w:line="276" w:lineRule="auto"/>
              <w:rPr>
                <w:rFonts w:asciiTheme="minorHAnsi" w:hAnsiTheme="minorHAnsi" w:cstheme="minorHAnsi"/>
                <w:sz w:val="22"/>
                <w:szCs w:val="22"/>
              </w:rPr>
            </w:pPr>
            <w:proofErr w:type="gramStart"/>
            <w:r>
              <w:rPr>
                <w:rFonts w:ascii="Calibri" w:eastAsia="Calibri" w:hAnsi="Calibri" w:cs="Calibri"/>
                <w:sz w:val="22"/>
                <w:szCs w:val="22"/>
                <w:lang w:val="fr-FR"/>
              </w:rPr>
              <w:t>violence</w:t>
            </w:r>
            <w:proofErr w:type="gramEnd"/>
            <w:r>
              <w:rPr>
                <w:rFonts w:ascii="Calibri" w:eastAsia="Calibri" w:hAnsi="Calibri" w:cs="Calibri"/>
                <w:sz w:val="22"/>
                <w:szCs w:val="22"/>
                <w:lang w:val="fr-FR"/>
              </w:rPr>
              <w:t xml:space="preserve"> conjugale</w:t>
            </w:r>
          </w:p>
        </w:tc>
        <w:tc>
          <w:tcPr>
            <w:tcW w:w="1666" w:type="pct"/>
            <w:vMerge w:val="restart"/>
          </w:tcPr>
          <w:p w14:paraId="50D11540" w14:textId="77777777" w:rsidR="00111F85" w:rsidRPr="00D15745" w:rsidRDefault="007350F8" w:rsidP="00921BF8">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Les termes préconisés font plus spécifiquement référence à deux idées distinctes : la violence entre partenaires et la </w:t>
            </w:r>
            <w:r w:rsidRPr="008451E3">
              <w:rPr>
                <w:rFonts w:ascii="Calibri" w:eastAsia="Calibri" w:hAnsi="Calibri" w:cs="Calibri"/>
                <w:sz w:val="22"/>
                <w:szCs w:val="22"/>
                <w:lang w:val="fr-FR"/>
              </w:rPr>
              <w:t xml:space="preserve">violence spécifiquement basée sur les déséquilibres de pouvoir entre les sexes. Ils évoquent </w:t>
            </w:r>
            <w:r w:rsidRPr="00346DA3">
              <w:rPr>
                <w:rFonts w:ascii="Calibri" w:eastAsia="Calibri" w:hAnsi="Calibri" w:cs="Calibri"/>
                <w:sz w:val="22"/>
                <w:szCs w:val="22"/>
                <w:lang w:val="fr-FR"/>
              </w:rPr>
              <w:t>également chacun les violences en dehors d'un foyer commun.</w:t>
            </w:r>
          </w:p>
        </w:tc>
      </w:tr>
      <w:tr w:rsidR="00896FB7" w14:paraId="21263F64" w14:textId="77777777" w:rsidTr="00921BF8">
        <w:tc>
          <w:tcPr>
            <w:tcW w:w="1667" w:type="pct"/>
          </w:tcPr>
          <w:p w14:paraId="41BC18A2" w14:textId="77777777" w:rsidR="00111F85" w:rsidRPr="00727EC8" w:rsidRDefault="007350F8" w:rsidP="00921BF8">
            <w:pPr>
              <w:pStyle w:val="Default"/>
              <w:spacing w:after="120" w:line="276" w:lineRule="auto"/>
              <w:rPr>
                <w:rFonts w:asciiTheme="minorHAnsi" w:hAnsiTheme="minorHAnsi" w:cstheme="minorHAnsi"/>
                <w:sz w:val="22"/>
                <w:szCs w:val="22"/>
              </w:rPr>
            </w:pPr>
            <w:proofErr w:type="gramStart"/>
            <w:r>
              <w:rPr>
                <w:rFonts w:ascii="Calibri" w:eastAsia="Calibri" w:hAnsi="Calibri" w:cs="Calibri"/>
                <w:b/>
                <w:bCs/>
                <w:sz w:val="22"/>
                <w:szCs w:val="22"/>
                <w:lang w:val="fr-FR"/>
              </w:rPr>
              <w:t>violence</w:t>
            </w:r>
            <w:proofErr w:type="gramEnd"/>
            <w:r>
              <w:rPr>
                <w:rFonts w:ascii="Calibri" w:eastAsia="Calibri" w:hAnsi="Calibri" w:cs="Calibri"/>
                <w:b/>
                <w:bCs/>
                <w:sz w:val="22"/>
                <w:szCs w:val="22"/>
                <w:lang w:val="fr-FR"/>
              </w:rPr>
              <w:t xml:space="preserve"> de genre</w:t>
            </w:r>
          </w:p>
        </w:tc>
        <w:tc>
          <w:tcPr>
            <w:tcW w:w="1667" w:type="pct"/>
          </w:tcPr>
          <w:p w14:paraId="6809D0E6" w14:textId="77777777" w:rsidR="00111F85" w:rsidRPr="00727EC8" w:rsidRDefault="00111F85" w:rsidP="00921BF8">
            <w:pPr>
              <w:pStyle w:val="Default"/>
              <w:spacing w:after="120" w:line="276" w:lineRule="auto"/>
              <w:rPr>
                <w:rFonts w:asciiTheme="minorHAnsi" w:hAnsiTheme="minorHAnsi" w:cstheme="minorHAnsi"/>
                <w:sz w:val="22"/>
                <w:szCs w:val="22"/>
              </w:rPr>
            </w:pPr>
          </w:p>
        </w:tc>
        <w:tc>
          <w:tcPr>
            <w:tcW w:w="1666" w:type="pct"/>
            <w:vMerge/>
          </w:tcPr>
          <w:p w14:paraId="5B9FEBCF" w14:textId="77777777" w:rsidR="00111F85" w:rsidRPr="00727EC8" w:rsidRDefault="00111F85" w:rsidP="00921BF8">
            <w:pPr>
              <w:pStyle w:val="Default"/>
              <w:spacing w:after="120" w:line="276" w:lineRule="auto"/>
              <w:rPr>
                <w:rFonts w:asciiTheme="minorHAnsi" w:hAnsiTheme="minorHAnsi" w:cstheme="minorHAnsi"/>
                <w:sz w:val="22"/>
                <w:szCs w:val="22"/>
              </w:rPr>
            </w:pPr>
          </w:p>
        </w:tc>
      </w:tr>
      <w:tr w:rsidR="00896FB7" w:rsidRPr="00EE1EE3" w14:paraId="41121F81" w14:textId="77777777" w:rsidTr="00921BF8">
        <w:tc>
          <w:tcPr>
            <w:tcW w:w="1667" w:type="pct"/>
            <w:shd w:val="clear" w:color="auto" w:fill="EDEDED"/>
          </w:tcPr>
          <w:p w14:paraId="535A94FA" w14:textId="77777777" w:rsidR="00111F85"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ayant fait l’expérience de violences</w:t>
            </w:r>
          </w:p>
        </w:tc>
        <w:tc>
          <w:tcPr>
            <w:tcW w:w="1667" w:type="pct"/>
            <w:shd w:val="clear" w:color="auto" w:fill="EDEDED"/>
          </w:tcPr>
          <w:p w14:paraId="551216C2" w14:textId="77777777" w:rsidR="00111F85"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victime</w:t>
            </w:r>
            <w:proofErr w:type="gramEnd"/>
            <w:r>
              <w:rPr>
                <w:rFonts w:ascii="Calibri" w:eastAsia="Calibri" w:hAnsi="Calibri" w:cs="Calibri"/>
                <w:color w:val="000000"/>
                <w:lang w:val="fr-FR"/>
              </w:rPr>
              <w:t xml:space="preserve"> d'abus</w:t>
            </w:r>
          </w:p>
        </w:tc>
        <w:tc>
          <w:tcPr>
            <w:tcW w:w="1666" w:type="pct"/>
            <w:vMerge w:val="restart"/>
            <w:shd w:val="clear" w:color="auto" w:fill="EDEDED"/>
          </w:tcPr>
          <w:p w14:paraId="31FFE572" w14:textId="77777777" w:rsidR="00111F85"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Utilisez des termes plus valorisants ou neutres que le mot « victime », qui évoque la défaite et l'impuissance. Lorsque vous faites référence à une personne spécifique, utilisez toujours un terme avec son accord.</w:t>
            </w:r>
          </w:p>
        </w:tc>
      </w:tr>
      <w:tr w:rsidR="00896FB7" w14:paraId="097540F3" w14:textId="77777777" w:rsidTr="00921BF8">
        <w:tc>
          <w:tcPr>
            <w:tcW w:w="1667" w:type="pct"/>
            <w:shd w:val="clear" w:color="auto" w:fill="EDEDED"/>
          </w:tcPr>
          <w:p w14:paraId="6F4F7093" w14:textId="188815BF" w:rsidR="00111F85" w:rsidRPr="00727EC8" w:rsidRDefault="007350F8" w:rsidP="00921BF8">
            <w:pPr>
              <w:autoSpaceDE w:val="0"/>
              <w:autoSpaceDN w:val="0"/>
              <w:adjustRightInd w:val="0"/>
              <w:spacing w:after="120" w:line="276" w:lineRule="auto"/>
              <w:rPr>
                <w:rFonts w:cstheme="minorHAnsi"/>
                <w:color w:val="000000"/>
              </w:rPr>
            </w:pPr>
            <w:proofErr w:type="gramStart"/>
            <w:r w:rsidRPr="00346DA3">
              <w:rPr>
                <w:rFonts w:ascii="Calibri" w:eastAsia="Calibri" w:hAnsi="Calibri" w:cs="Calibri"/>
                <w:b/>
                <w:bCs/>
                <w:color w:val="000000"/>
                <w:lang w:val="fr-FR"/>
              </w:rPr>
              <w:t>survivant</w:t>
            </w:r>
            <w:proofErr w:type="gramEnd"/>
            <w:r>
              <w:rPr>
                <w:rFonts w:ascii="Calibri" w:eastAsia="Calibri" w:hAnsi="Calibri" w:cs="Calibri"/>
                <w:b/>
                <w:bCs/>
                <w:color w:val="000000"/>
                <w:lang w:val="fr-FR"/>
              </w:rPr>
              <w:t xml:space="preserve"> de violences</w:t>
            </w:r>
          </w:p>
        </w:tc>
        <w:tc>
          <w:tcPr>
            <w:tcW w:w="1667" w:type="pct"/>
            <w:shd w:val="clear" w:color="auto" w:fill="EDEDED"/>
          </w:tcPr>
          <w:p w14:paraId="559EBA00" w14:textId="77777777" w:rsidR="00111F85" w:rsidRPr="00727EC8" w:rsidRDefault="00111F85" w:rsidP="00921BF8">
            <w:pPr>
              <w:autoSpaceDE w:val="0"/>
              <w:autoSpaceDN w:val="0"/>
              <w:adjustRightInd w:val="0"/>
              <w:spacing w:after="120" w:line="276" w:lineRule="auto"/>
              <w:rPr>
                <w:rFonts w:cstheme="minorHAnsi"/>
                <w:color w:val="000000"/>
              </w:rPr>
            </w:pPr>
          </w:p>
        </w:tc>
        <w:tc>
          <w:tcPr>
            <w:tcW w:w="1666" w:type="pct"/>
            <w:vMerge/>
            <w:shd w:val="clear" w:color="auto" w:fill="EDEDED"/>
          </w:tcPr>
          <w:p w14:paraId="455282EB" w14:textId="77777777" w:rsidR="00111F85" w:rsidRPr="00727EC8" w:rsidRDefault="00111F85" w:rsidP="00921BF8">
            <w:pPr>
              <w:autoSpaceDE w:val="0"/>
              <w:autoSpaceDN w:val="0"/>
              <w:adjustRightInd w:val="0"/>
              <w:spacing w:after="120" w:line="276" w:lineRule="auto"/>
              <w:rPr>
                <w:rFonts w:cstheme="minorHAnsi"/>
                <w:color w:val="000000"/>
              </w:rPr>
            </w:pPr>
          </w:p>
        </w:tc>
      </w:tr>
      <w:tr w:rsidR="00896FB7" w:rsidRPr="00EE1EE3" w14:paraId="582886D1" w14:textId="77777777" w:rsidTr="00921BF8">
        <w:tc>
          <w:tcPr>
            <w:tcW w:w="1667" w:type="pct"/>
          </w:tcPr>
          <w:p w14:paraId="72495A01"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devant être testée pour la tuberculose</w:t>
            </w:r>
          </w:p>
          <w:p w14:paraId="030ECD41"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à risque de contracter la tuberculose</w:t>
            </w:r>
          </w:p>
        </w:tc>
        <w:tc>
          <w:tcPr>
            <w:tcW w:w="1667" w:type="pct"/>
          </w:tcPr>
          <w:p w14:paraId="69E4F7E0"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suspectée</w:t>
            </w:r>
            <w:proofErr w:type="gramEnd"/>
            <w:r>
              <w:rPr>
                <w:rFonts w:ascii="Calibri" w:eastAsia="Calibri" w:hAnsi="Calibri" w:cs="Calibri"/>
                <w:color w:val="000000"/>
                <w:lang w:val="fr-FR"/>
              </w:rPr>
              <w:t xml:space="preserve"> de tuberculose</w:t>
            </w:r>
          </w:p>
        </w:tc>
        <w:tc>
          <w:tcPr>
            <w:tcW w:w="1666" w:type="pct"/>
          </w:tcPr>
          <w:p w14:paraId="10062E3D"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terme « suspectée » évoque le soupçon et la faute personnelle.</w:t>
            </w:r>
          </w:p>
        </w:tc>
      </w:tr>
      <w:tr w:rsidR="00896FB7" w:rsidRPr="00EE1EE3" w14:paraId="2E5B006C" w14:textId="77777777" w:rsidTr="00921BF8">
        <w:tc>
          <w:tcPr>
            <w:tcW w:w="1667" w:type="pct"/>
            <w:shd w:val="clear" w:color="auto" w:fill="EDEDED"/>
          </w:tcPr>
          <w:p w14:paraId="25C8E3A8"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prévention</w:t>
            </w:r>
            <w:proofErr w:type="gramEnd"/>
            <w:r>
              <w:rPr>
                <w:rFonts w:ascii="Calibri" w:eastAsia="Calibri" w:hAnsi="Calibri" w:cs="Calibri"/>
                <w:b/>
                <w:bCs/>
                <w:color w:val="000000"/>
                <w:lang w:val="fr-FR"/>
              </w:rPr>
              <w:t xml:space="preserve"> et traitement de la tuberculose</w:t>
            </w:r>
          </w:p>
          <w:p w14:paraId="26D274CE"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prévention</w:t>
            </w:r>
            <w:proofErr w:type="gramEnd"/>
            <w:r>
              <w:rPr>
                <w:rFonts w:ascii="Calibri" w:eastAsia="Calibri" w:hAnsi="Calibri" w:cs="Calibri"/>
                <w:b/>
                <w:bCs/>
                <w:color w:val="000000"/>
                <w:lang w:val="fr-FR"/>
              </w:rPr>
              <w:t xml:space="preserve"> de la transmission de la tuberculose</w:t>
            </w:r>
          </w:p>
        </w:tc>
        <w:tc>
          <w:tcPr>
            <w:tcW w:w="1667" w:type="pct"/>
            <w:shd w:val="clear" w:color="auto" w:fill="EDEDED"/>
          </w:tcPr>
          <w:p w14:paraId="72D7D554"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lutte</w:t>
            </w:r>
            <w:proofErr w:type="gramEnd"/>
            <w:r>
              <w:rPr>
                <w:rFonts w:ascii="Calibri" w:eastAsia="Calibri" w:hAnsi="Calibri" w:cs="Calibri"/>
                <w:color w:val="000000"/>
                <w:lang w:val="fr-FR"/>
              </w:rPr>
              <w:t xml:space="preserve"> contre la tuberculose</w:t>
            </w:r>
          </w:p>
        </w:tc>
        <w:tc>
          <w:tcPr>
            <w:tcW w:w="1666" w:type="pct"/>
            <w:shd w:val="clear" w:color="auto" w:fill="EDEDED"/>
          </w:tcPr>
          <w:p w14:paraId="5D1FF731"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terme « contrôle » a des connotations paternalistes.</w:t>
            </w:r>
          </w:p>
        </w:tc>
      </w:tr>
      <w:tr w:rsidR="00896FB7" w:rsidRPr="00EE1EE3" w14:paraId="2A2675E0" w14:textId="77777777" w:rsidTr="00921BF8">
        <w:tc>
          <w:tcPr>
            <w:tcW w:w="1667" w:type="pct"/>
          </w:tcPr>
          <w:p w14:paraId="742BFF1B"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personnes</w:t>
            </w:r>
            <w:proofErr w:type="gramEnd"/>
            <w:r>
              <w:rPr>
                <w:rFonts w:ascii="Calibri" w:eastAsia="Calibri" w:hAnsi="Calibri" w:cs="Calibri"/>
                <w:b/>
                <w:bCs/>
                <w:color w:val="000000"/>
                <w:lang w:val="fr-FR"/>
              </w:rPr>
              <w:t>/</w:t>
            </w:r>
            <w:r w:rsidRPr="00346DA3">
              <w:rPr>
                <w:rFonts w:ascii="Calibri" w:eastAsia="Calibri" w:hAnsi="Calibri" w:cs="Calibri"/>
                <w:b/>
                <w:bCs/>
                <w:color w:val="000000"/>
                <w:lang w:val="fr-FR"/>
              </w:rPr>
              <w:t>participants</w:t>
            </w:r>
            <w:r>
              <w:rPr>
                <w:rFonts w:ascii="Calibri" w:eastAsia="Calibri" w:hAnsi="Calibri" w:cs="Calibri"/>
                <w:b/>
                <w:bCs/>
                <w:color w:val="000000"/>
                <w:lang w:val="fr-FR"/>
              </w:rPr>
              <w:t xml:space="preserve"> présentant une hépatite concomitante ou une tuberculose concomitante</w:t>
            </w:r>
          </w:p>
        </w:tc>
        <w:tc>
          <w:tcPr>
            <w:tcW w:w="1667" w:type="pct"/>
          </w:tcPr>
          <w:p w14:paraId="56E6A0C6"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Personnes/participants </w:t>
            </w:r>
            <w:proofErr w:type="spellStart"/>
            <w:r>
              <w:rPr>
                <w:rFonts w:ascii="Calibri" w:eastAsia="Calibri" w:hAnsi="Calibri" w:cs="Calibri"/>
                <w:color w:val="000000"/>
                <w:lang w:val="fr-FR"/>
              </w:rPr>
              <w:t>co-infectés</w:t>
            </w:r>
            <w:proofErr w:type="spellEnd"/>
            <w:r>
              <w:rPr>
                <w:rFonts w:ascii="Calibri" w:eastAsia="Calibri" w:hAnsi="Calibri" w:cs="Calibri"/>
                <w:color w:val="000000"/>
                <w:lang w:val="fr-FR"/>
              </w:rPr>
              <w:t xml:space="preserve"> par la tuberculose ou l'hépatite</w:t>
            </w:r>
          </w:p>
        </w:tc>
        <w:tc>
          <w:tcPr>
            <w:tcW w:w="1666" w:type="pct"/>
          </w:tcPr>
          <w:p w14:paraId="68B2B068"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terme « </w:t>
            </w:r>
            <w:proofErr w:type="spellStart"/>
            <w:r>
              <w:rPr>
                <w:rFonts w:ascii="Calibri" w:eastAsia="Calibri" w:hAnsi="Calibri" w:cs="Calibri"/>
                <w:color w:val="000000"/>
                <w:lang w:val="fr-FR"/>
              </w:rPr>
              <w:t>co-infectés</w:t>
            </w:r>
            <w:proofErr w:type="spellEnd"/>
            <w:r>
              <w:rPr>
                <w:rFonts w:ascii="Calibri" w:eastAsia="Calibri" w:hAnsi="Calibri" w:cs="Calibri"/>
                <w:color w:val="000000"/>
                <w:lang w:val="fr-FR"/>
              </w:rPr>
              <w:t> » et ses dérivés sont aussi stigmatisants qu</w:t>
            </w:r>
            <w:proofErr w:type="gramStart"/>
            <w:r>
              <w:rPr>
                <w:rFonts w:ascii="Calibri" w:eastAsia="Calibri" w:hAnsi="Calibri" w:cs="Calibri"/>
                <w:color w:val="000000"/>
                <w:lang w:val="fr-FR"/>
              </w:rPr>
              <w:t>’«</w:t>
            </w:r>
            <w:proofErr w:type="gramEnd"/>
            <w:r>
              <w:rPr>
                <w:rFonts w:ascii="Calibri" w:eastAsia="Calibri" w:hAnsi="Calibri" w:cs="Calibri"/>
                <w:color w:val="000000"/>
                <w:lang w:val="fr-FR"/>
              </w:rPr>
              <w:t> infectés ».</w:t>
            </w:r>
          </w:p>
        </w:tc>
      </w:tr>
      <w:tr w:rsidR="00896FB7" w:rsidRPr="00EE1EE3" w14:paraId="561B3519" w14:textId="77777777" w:rsidTr="00921BF8">
        <w:tc>
          <w:tcPr>
            <w:tcW w:w="1667" w:type="pct"/>
            <w:shd w:val="clear" w:color="auto" w:fill="EDEDED"/>
          </w:tcPr>
          <w:p w14:paraId="2084E207" w14:textId="77777777" w:rsidR="0049559E"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atteinte de tuberculose</w:t>
            </w:r>
          </w:p>
        </w:tc>
        <w:tc>
          <w:tcPr>
            <w:tcW w:w="1667" w:type="pct"/>
            <w:shd w:val="clear" w:color="auto" w:fill="EDEDED"/>
          </w:tcPr>
          <w:p w14:paraId="24DFDD3E" w14:textId="77777777" w:rsidR="0049559E"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cas</w:t>
            </w:r>
            <w:proofErr w:type="gramEnd"/>
            <w:r>
              <w:rPr>
                <w:rFonts w:ascii="Calibri" w:eastAsia="Calibri" w:hAnsi="Calibri" w:cs="Calibri"/>
                <w:color w:val="000000"/>
                <w:lang w:val="fr-FR"/>
              </w:rPr>
              <w:t xml:space="preserve"> de tuberculose</w:t>
            </w:r>
          </w:p>
        </w:tc>
        <w:tc>
          <w:tcPr>
            <w:tcW w:w="1666" w:type="pct"/>
            <w:vMerge w:val="restart"/>
            <w:shd w:val="clear" w:color="auto" w:fill="EDEDED"/>
          </w:tcPr>
          <w:p w14:paraId="3B375DEE" w14:textId="77777777" w:rsidR="0049559E"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Les personnes ne doivent pas être décrites comme des « cas ». Il s’agit d’un terme qui déshumanise la personne et implique un fardeau.</w:t>
            </w:r>
          </w:p>
        </w:tc>
      </w:tr>
      <w:tr w:rsidR="00896FB7" w14:paraId="3C437A4B" w14:textId="77777777" w:rsidTr="00921BF8">
        <w:tc>
          <w:tcPr>
            <w:tcW w:w="1667" w:type="pct"/>
            <w:shd w:val="clear" w:color="auto" w:fill="EDEDED"/>
          </w:tcPr>
          <w:p w14:paraId="6CD0DE6A" w14:textId="55324D6C" w:rsidR="0049559E"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diagnostic</w:t>
            </w:r>
            <w:r w:rsidR="00485A2B">
              <w:rPr>
                <w:rFonts w:ascii="Calibri" w:eastAsia="Calibri" w:hAnsi="Calibri" w:cs="Calibri"/>
                <w:b/>
                <w:bCs/>
                <w:color w:val="000000"/>
                <w:lang w:val="fr-FR"/>
              </w:rPr>
              <w:t>s</w:t>
            </w:r>
            <w:proofErr w:type="gramEnd"/>
            <w:r>
              <w:rPr>
                <w:rFonts w:ascii="Calibri" w:eastAsia="Calibri" w:hAnsi="Calibri" w:cs="Calibri"/>
                <w:b/>
                <w:bCs/>
                <w:color w:val="000000"/>
                <w:lang w:val="fr-FR"/>
              </w:rPr>
              <w:t xml:space="preserve"> de nouvelles personnes ayant contracté la tuberculose</w:t>
            </w:r>
          </w:p>
          <w:p w14:paraId="23F17CA6" w14:textId="77777777" w:rsidR="0049559E"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lastRenderedPageBreak/>
              <w:t>personnes</w:t>
            </w:r>
            <w:proofErr w:type="gramEnd"/>
            <w:r>
              <w:rPr>
                <w:rFonts w:ascii="Calibri" w:eastAsia="Calibri" w:hAnsi="Calibri" w:cs="Calibri"/>
                <w:b/>
                <w:bCs/>
                <w:color w:val="000000"/>
                <w:lang w:val="fr-FR"/>
              </w:rPr>
              <w:t xml:space="preserve"> nouvellement diagnostiquées avec la tuberculose</w:t>
            </w:r>
          </w:p>
        </w:tc>
        <w:tc>
          <w:tcPr>
            <w:tcW w:w="1667" w:type="pct"/>
            <w:shd w:val="clear" w:color="auto" w:fill="EDEDED"/>
          </w:tcPr>
          <w:p w14:paraId="0247B4C4" w14:textId="77777777" w:rsidR="0049559E"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lastRenderedPageBreak/>
              <w:t>nouveaux</w:t>
            </w:r>
            <w:proofErr w:type="gramEnd"/>
            <w:r>
              <w:rPr>
                <w:rFonts w:ascii="Calibri" w:eastAsia="Calibri" w:hAnsi="Calibri" w:cs="Calibri"/>
                <w:color w:val="000000"/>
                <w:lang w:val="fr-FR"/>
              </w:rPr>
              <w:t xml:space="preserve"> cas de tuberculose</w:t>
            </w:r>
          </w:p>
        </w:tc>
        <w:tc>
          <w:tcPr>
            <w:tcW w:w="1666" w:type="pct"/>
            <w:vMerge/>
            <w:shd w:val="clear" w:color="auto" w:fill="EDEDED"/>
          </w:tcPr>
          <w:p w14:paraId="13EE691F" w14:textId="77777777" w:rsidR="0049559E" w:rsidRPr="00727EC8" w:rsidRDefault="0049559E" w:rsidP="00921BF8">
            <w:pPr>
              <w:autoSpaceDE w:val="0"/>
              <w:autoSpaceDN w:val="0"/>
              <w:adjustRightInd w:val="0"/>
              <w:spacing w:after="120" w:line="276" w:lineRule="auto"/>
              <w:rPr>
                <w:rFonts w:cstheme="minorHAnsi"/>
                <w:color w:val="000000"/>
              </w:rPr>
            </w:pPr>
          </w:p>
        </w:tc>
      </w:tr>
      <w:tr w:rsidR="00896FB7" w14:paraId="036464FC" w14:textId="77777777" w:rsidTr="00921BF8">
        <w:tc>
          <w:tcPr>
            <w:tcW w:w="1667" w:type="pct"/>
          </w:tcPr>
          <w:p w14:paraId="03B76A4A"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adulte</w:t>
            </w:r>
            <w:proofErr w:type="gramEnd"/>
            <w:r>
              <w:rPr>
                <w:rFonts w:ascii="Calibri" w:eastAsia="Calibri" w:hAnsi="Calibri" w:cs="Calibri"/>
                <w:b/>
                <w:bCs/>
                <w:color w:val="000000"/>
                <w:lang w:val="fr-FR"/>
              </w:rPr>
              <w:t xml:space="preserve"> âgé</w:t>
            </w:r>
          </w:p>
          <w:p w14:paraId="2E754099"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de plus de [âge]</w:t>
            </w:r>
          </w:p>
        </w:tc>
        <w:tc>
          <w:tcPr>
            <w:tcW w:w="1667" w:type="pct"/>
          </w:tcPr>
          <w:p w14:paraId="633BEB65"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personnes</w:t>
            </w:r>
            <w:proofErr w:type="gramEnd"/>
            <w:r>
              <w:rPr>
                <w:rFonts w:ascii="Calibri" w:eastAsia="Calibri" w:hAnsi="Calibri" w:cs="Calibri"/>
                <w:color w:val="000000"/>
                <w:lang w:val="fr-FR"/>
              </w:rPr>
              <w:t xml:space="preserve"> âgées</w:t>
            </w:r>
          </w:p>
          <w:p w14:paraId="0CC27C47"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anciens</w:t>
            </w:r>
            <w:proofErr w:type="gramEnd"/>
          </w:p>
          <w:p w14:paraId="1C266991"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âgés</w:t>
            </w:r>
            <w:proofErr w:type="gramEnd"/>
          </w:p>
          <w:p w14:paraId="08AC94E1"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seniors</w:t>
            </w:r>
            <w:proofErr w:type="gramEnd"/>
          </w:p>
        </w:tc>
        <w:tc>
          <w:tcPr>
            <w:tcW w:w="1666" w:type="pct"/>
          </w:tcPr>
          <w:p w14:paraId="5FD82DDD" w14:textId="77777777" w:rsidR="00AA4320" w:rsidRPr="00727EC8" w:rsidRDefault="007350F8"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fr-FR"/>
              </w:rPr>
              <w:t>Le terme « adultes » affirme le libre arbitre et la personnalité, tout comme le langage axé sur la personne. Des termes stigmatisants tels que « anciens » peuvent évoquer la fragilité. Indiquer un âge précis dans la mesure du possible.</w:t>
            </w:r>
          </w:p>
        </w:tc>
      </w:tr>
      <w:tr w:rsidR="00896FB7" w:rsidRPr="00EE1EE3" w14:paraId="10A3DD4E" w14:textId="77777777" w:rsidTr="00921BF8">
        <w:tc>
          <w:tcPr>
            <w:tcW w:w="1667" w:type="pct"/>
            <w:shd w:val="clear" w:color="auto" w:fill="EDEDED"/>
          </w:tcPr>
          <w:p w14:paraId="3D82C807"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partenaire</w:t>
            </w:r>
            <w:proofErr w:type="gramEnd"/>
            <w:r>
              <w:rPr>
                <w:rFonts w:ascii="Calibri" w:eastAsia="Calibri" w:hAnsi="Calibri" w:cs="Calibri"/>
                <w:b/>
                <w:bCs/>
                <w:color w:val="000000"/>
                <w:lang w:val="fr-FR"/>
              </w:rPr>
              <w:t xml:space="preserve"> de soins</w:t>
            </w:r>
          </w:p>
          <w:p w14:paraId="5D407C06"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famille</w:t>
            </w:r>
            <w:proofErr w:type="gramEnd"/>
            <w:r>
              <w:rPr>
                <w:rFonts w:ascii="Calibri" w:eastAsia="Calibri" w:hAnsi="Calibri" w:cs="Calibri"/>
                <w:b/>
                <w:bCs/>
                <w:color w:val="000000"/>
                <w:lang w:val="fr-FR"/>
              </w:rPr>
              <w:t xml:space="preserve"> et amis </w:t>
            </w:r>
            <w:r>
              <w:rPr>
                <w:rFonts w:ascii="Calibri" w:eastAsia="Calibri" w:hAnsi="Calibri" w:cs="Calibri"/>
                <w:color w:val="000000"/>
                <w:lang w:val="fr-FR"/>
              </w:rPr>
              <w:t>[dans des contextes appropriés]</w:t>
            </w:r>
          </w:p>
        </w:tc>
        <w:tc>
          <w:tcPr>
            <w:tcW w:w="1667" w:type="pct"/>
            <w:shd w:val="clear" w:color="auto" w:fill="EDEDED"/>
          </w:tcPr>
          <w:p w14:paraId="0DE2D6F6" w14:textId="77777777" w:rsidR="00AA4320" w:rsidRPr="003711C6" w:rsidRDefault="007350F8" w:rsidP="00921BF8">
            <w:pPr>
              <w:autoSpaceDE w:val="0"/>
              <w:autoSpaceDN w:val="0"/>
              <w:adjustRightInd w:val="0"/>
              <w:spacing w:after="0" w:line="276" w:lineRule="auto"/>
              <w:rPr>
                <w:rFonts w:cstheme="minorHAnsi"/>
                <w:color w:val="000000"/>
                <w:lang w:val="pt-BR"/>
              </w:rPr>
            </w:pPr>
            <w:r w:rsidRPr="003711C6">
              <w:rPr>
                <w:rFonts w:ascii="Calibri" w:eastAsia="Calibri" w:hAnsi="Calibri" w:cs="Calibri"/>
                <w:color w:val="000000"/>
                <w:lang w:val="pt-BR"/>
              </w:rPr>
              <w:t>aidant(e)s</w:t>
            </w:r>
          </w:p>
          <w:p w14:paraId="525D5A9B" w14:textId="77777777" w:rsidR="00AA4320" w:rsidRPr="003711C6" w:rsidRDefault="007350F8" w:rsidP="00921BF8">
            <w:pPr>
              <w:autoSpaceDE w:val="0"/>
              <w:autoSpaceDN w:val="0"/>
              <w:adjustRightInd w:val="0"/>
              <w:spacing w:after="120" w:line="276" w:lineRule="auto"/>
              <w:rPr>
                <w:rFonts w:cstheme="minorHAnsi"/>
                <w:color w:val="000000"/>
                <w:lang w:val="pt-BR"/>
              </w:rPr>
            </w:pPr>
            <w:r w:rsidRPr="003711C6">
              <w:rPr>
                <w:rFonts w:ascii="Calibri" w:eastAsia="Calibri" w:hAnsi="Calibri" w:cs="Calibri"/>
                <w:color w:val="000000"/>
                <w:lang w:val="pt-BR"/>
              </w:rPr>
              <w:t>soignant(e)s</w:t>
            </w:r>
          </w:p>
        </w:tc>
        <w:tc>
          <w:tcPr>
            <w:tcW w:w="1666" w:type="pct"/>
            <w:shd w:val="clear" w:color="auto" w:fill="EDEDED"/>
          </w:tcPr>
          <w:p w14:paraId="6269D1D6"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Pour décrire les personnes impliquées dans les soins d'un adulte âgé, privilégier le terme « partenaire de soins » pour mettre l'accent sur la collaboration et l'autonomie de l'adulte.</w:t>
            </w:r>
          </w:p>
        </w:tc>
      </w:tr>
      <w:tr w:rsidR="00896FB7" w:rsidRPr="00EE1EE3" w14:paraId="790B349C" w14:textId="77777777" w:rsidTr="00921BF8">
        <w:tc>
          <w:tcPr>
            <w:tcW w:w="1667" w:type="pct"/>
          </w:tcPr>
          <w:p w14:paraId="796DB5A6" w14:textId="77777777" w:rsidR="0049559E"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arrêtée/condamnée pour un crime</w:t>
            </w:r>
          </w:p>
        </w:tc>
        <w:tc>
          <w:tcPr>
            <w:tcW w:w="1667" w:type="pct"/>
          </w:tcPr>
          <w:p w14:paraId="00DEA9FA" w14:textId="77777777" w:rsidR="0049559E" w:rsidRPr="00727EC8" w:rsidRDefault="007350F8" w:rsidP="00921BF8">
            <w:pPr>
              <w:autoSpaceDE w:val="0"/>
              <w:autoSpaceDN w:val="0"/>
              <w:adjustRightInd w:val="0"/>
              <w:spacing w:after="0" w:line="276" w:lineRule="auto"/>
              <w:rPr>
                <w:rFonts w:cstheme="minorHAnsi"/>
                <w:color w:val="000000"/>
              </w:rPr>
            </w:pPr>
            <w:proofErr w:type="gramStart"/>
            <w:r>
              <w:rPr>
                <w:rFonts w:ascii="Calibri" w:eastAsia="Calibri" w:hAnsi="Calibri" w:cs="Calibri"/>
                <w:color w:val="000000"/>
                <w:lang w:val="fr-FR"/>
              </w:rPr>
              <w:t>criminel</w:t>
            </w:r>
            <w:proofErr w:type="gramEnd"/>
          </w:p>
          <w:p w14:paraId="792B9B48" w14:textId="77777777" w:rsidR="0049559E" w:rsidRPr="00727EC8" w:rsidRDefault="007350F8" w:rsidP="00921BF8">
            <w:pPr>
              <w:autoSpaceDE w:val="0"/>
              <w:autoSpaceDN w:val="0"/>
              <w:adjustRightInd w:val="0"/>
              <w:spacing w:after="0" w:line="276" w:lineRule="auto"/>
              <w:rPr>
                <w:rFonts w:cstheme="minorHAnsi"/>
                <w:color w:val="000000"/>
              </w:rPr>
            </w:pPr>
            <w:proofErr w:type="gramStart"/>
            <w:r>
              <w:rPr>
                <w:rFonts w:ascii="Calibri" w:eastAsia="Calibri" w:hAnsi="Calibri" w:cs="Calibri"/>
                <w:color w:val="000000"/>
                <w:lang w:val="fr-FR"/>
              </w:rPr>
              <w:t>condamné</w:t>
            </w:r>
            <w:proofErr w:type="gramEnd"/>
          </w:p>
          <w:p w14:paraId="18F11398" w14:textId="77777777" w:rsidR="0049559E"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délinquant</w:t>
            </w:r>
            <w:proofErr w:type="gramEnd"/>
          </w:p>
        </w:tc>
        <w:tc>
          <w:tcPr>
            <w:tcW w:w="1666" w:type="pct"/>
            <w:vMerge w:val="restart"/>
          </w:tcPr>
          <w:p w14:paraId="73896597" w14:textId="77777777" w:rsidR="0049559E"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langage axé sur la personne met l'accent sur l'humanité de celle-ci. De plus, certains de ces termes ont des définitions juridiques spécifiques qui peuvent être confondues.</w:t>
            </w:r>
          </w:p>
        </w:tc>
      </w:tr>
      <w:tr w:rsidR="00896FB7" w14:paraId="3ECE3638" w14:textId="77777777" w:rsidTr="00921BF8">
        <w:tc>
          <w:tcPr>
            <w:tcW w:w="1667" w:type="pct"/>
          </w:tcPr>
          <w:p w14:paraId="3DEE2E19" w14:textId="77777777" w:rsidR="0049559E"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incarcérée</w:t>
            </w:r>
          </w:p>
          <w:p w14:paraId="756B3E6F" w14:textId="77777777" w:rsidR="0049559E"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en prison</w:t>
            </w:r>
          </w:p>
        </w:tc>
        <w:tc>
          <w:tcPr>
            <w:tcW w:w="1667" w:type="pct"/>
          </w:tcPr>
          <w:p w14:paraId="2E4721DC" w14:textId="77777777" w:rsidR="0049559E" w:rsidRPr="00727EC8" w:rsidRDefault="007350F8" w:rsidP="00921BF8">
            <w:pPr>
              <w:autoSpaceDE w:val="0"/>
              <w:autoSpaceDN w:val="0"/>
              <w:adjustRightInd w:val="0"/>
              <w:spacing w:after="0" w:line="276" w:lineRule="auto"/>
              <w:rPr>
                <w:rFonts w:cstheme="minorHAnsi"/>
                <w:color w:val="000000"/>
              </w:rPr>
            </w:pPr>
            <w:proofErr w:type="gramStart"/>
            <w:r>
              <w:rPr>
                <w:rFonts w:ascii="Calibri" w:eastAsia="Calibri" w:hAnsi="Calibri" w:cs="Calibri"/>
                <w:color w:val="000000"/>
                <w:lang w:val="fr-FR"/>
              </w:rPr>
              <w:t>détenu</w:t>
            </w:r>
            <w:proofErr w:type="gramEnd"/>
          </w:p>
          <w:p w14:paraId="79EAC05F" w14:textId="77777777" w:rsidR="0049559E" w:rsidRPr="00727EC8" w:rsidRDefault="007350F8" w:rsidP="00921BF8">
            <w:pPr>
              <w:autoSpaceDE w:val="0"/>
              <w:autoSpaceDN w:val="0"/>
              <w:adjustRightInd w:val="0"/>
              <w:spacing w:after="0" w:line="276" w:lineRule="auto"/>
              <w:rPr>
                <w:rFonts w:cstheme="minorHAnsi"/>
                <w:color w:val="000000"/>
              </w:rPr>
            </w:pPr>
            <w:proofErr w:type="gramStart"/>
            <w:r>
              <w:rPr>
                <w:rFonts w:ascii="Calibri" w:eastAsia="Calibri" w:hAnsi="Calibri" w:cs="Calibri"/>
                <w:color w:val="000000"/>
                <w:lang w:val="fr-FR"/>
              </w:rPr>
              <w:t>prisonnier</w:t>
            </w:r>
            <w:proofErr w:type="gramEnd"/>
          </w:p>
          <w:p w14:paraId="3DE2F958" w14:textId="77777777" w:rsidR="0049559E"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incarcéré</w:t>
            </w:r>
            <w:proofErr w:type="gramEnd"/>
          </w:p>
        </w:tc>
        <w:tc>
          <w:tcPr>
            <w:tcW w:w="1666" w:type="pct"/>
            <w:vMerge/>
          </w:tcPr>
          <w:p w14:paraId="4784701F" w14:textId="77777777" w:rsidR="0049559E" w:rsidRPr="00727EC8" w:rsidRDefault="0049559E" w:rsidP="00921BF8">
            <w:pPr>
              <w:autoSpaceDE w:val="0"/>
              <w:autoSpaceDN w:val="0"/>
              <w:adjustRightInd w:val="0"/>
              <w:spacing w:after="120" w:line="276" w:lineRule="auto"/>
              <w:rPr>
                <w:rFonts w:cstheme="minorHAnsi"/>
                <w:color w:val="000000"/>
              </w:rPr>
            </w:pPr>
          </w:p>
        </w:tc>
      </w:tr>
      <w:tr w:rsidR="00896FB7" w:rsidRPr="00EE1EE3" w14:paraId="7C9871EF" w14:textId="77777777" w:rsidTr="00921BF8">
        <w:tc>
          <w:tcPr>
            <w:tcW w:w="1667" w:type="pct"/>
            <w:shd w:val="clear" w:color="auto" w:fill="EDEDED"/>
          </w:tcPr>
          <w:p w14:paraId="0802DDD6"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personnes</w:t>
            </w:r>
            <w:proofErr w:type="gramEnd"/>
            <w:r>
              <w:rPr>
                <w:rFonts w:ascii="Calibri" w:eastAsia="Calibri" w:hAnsi="Calibri" w:cs="Calibri"/>
                <w:b/>
                <w:bCs/>
                <w:color w:val="000000"/>
                <w:lang w:val="fr-FR"/>
              </w:rPr>
              <w:t xml:space="preserve"> en surcharge pondérale</w:t>
            </w:r>
          </w:p>
          <w:p w14:paraId="710505E6"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personnes</w:t>
            </w:r>
            <w:proofErr w:type="gramEnd"/>
            <w:r>
              <w:rPr>
                <w:rFonts w:ascii="Calibri" w:eastAsia="Calibri" w:hAnsi="Calibri" w:cs="Calibri"/>
                <w:b/>
                <w:bCs/>
                <w:color w:val="000000"/>
                <w:lang w:val="fr-FR"/>
              </w:rPr>
              <w:t xml:space="preserve"> ayant un [IMC ou autre score métabolique] de X</w:t>
            </w:r>
          </w:p>
          <w:p w14:paraId="68C03A5E"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personnes</w:t>
            </w:r>
            <w:proofErr w:type="gramEnd"/>
            <w:r>
              <w:rPr>
                <w:rFonts w:ascii="Calibri" w:eastAsia="Calibri" w:hAnsi="Calibri" w:cs="Calibri"/>
                <w:b/>
                <w:bCs/>
                <w:color w:val="000000"/>
                <w:lang w:val="fr-FR"/>
              </w:rPr>
              <w:t xml:space="preserve"> présentant une obésité</w:t>
            </w:r>
          </w:p>
        </w:tc>
        <w:tc>
          <w:tcPr>
            <w:tcW w:w="1667" w:type="pct"/>
            <w:shd w:val="clear" w:color="auto" w:fill="EDEDED"/>
          </w:tcPr>
          <w:p w14:paraId="318C250E"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personnes</w:t>
            </w:r>
            <w:proofErr w:type="gramEnd"/>
            <w:r>
              <w:rPr>
                <w:rFonts w:ascii="Calibri" w:eastAsia="Calibri" w:hAnsi="Calibri" w:cs="Calibri"/>
                <w:color w:val="000000"/>
                <w:lang w:val="fr-FR"/>
              </w:rPr>
              <w:t xml:space="preserve"> en surpoids</w:t>
            </w:r>
          </w:p>
          <w:p w14:paraId="68765C0E"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personnes</w:t>
            </w:r>
            <w:proofErr w:type="gramEnd"/>
            <w:r>
              <w:rPr>
                <w:rFonts w:ascii="Calibri" w:eastAsia="Calibri" w:hAnsi="Calibri" w:cs="Calibri"/>
                <w:color w:val="000000"/>
                <w:lang w:val="fr-FR"/>
              </w:rPr>
              <w:t xml:space="preserve"> obèses</w:t>
            </w:r>
          </w:p>
          <w:p w14:paraId="1FB67A5A"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obèses</w:t>
            </w:r>
            <w:proofErr w:type="gramEnd"/>
          </w:p>
        </w:tc>
        <w:tc>
          <w:tcPr>
            <w:tcW w:w="1666" w:type="pct"/>
            <w:shd w:val="clear" w:color="auto" w:fill="EDEDED"/>
          </w:tcPr>
          <w:p w14:paraId="36808C70"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Utiliser un langage spécifique, neutre et axé sur la personne pour décrire la répartition du poids et de la graisse. L'obésité et le surpoids étant des diagnostics, il est acceptable d'utiliser l'expression « personnes présentant une obésité » et ses dérivés.</w:t>
            </w:r>
          </w:p>
        </w:tc>
      </w:tr>
      <w:tr w:rsidR="00896FB7" w:rsidRPr="00EE1EE3" w14:paraId="7A857E44" w14:textId="77777777" w:rsidTr="00921BF8">
        <w:tc>
          <w:tcPr>
            <w:tcW w:w="1667" w:type="pct"/>
          </w:tcPr>
          <w:p w14:paraId="7F57E870"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personnes</w:t>
            </w:r>
            <w:proofErr w:type="gramEnd"/>
            <w:r>
              <w:rPr>
                <w:rFonts w:ascii="Calibri" w:eastAsia="Calibri" w:hAnsi="Calibri" w:cs="Calibri"/>
                <w:b/>
                <w:bCs/>
                <w:color w:val="000000"/>
                <w:lang w:val="fr-FR"/>
              </w:rPr>
              <w:t xml:space="preserve"> en situation de handicap</w:t>
            </w:r>
          </w:p>
          <w:p w14:paraId="6A7D1263" w14:textId="77777777" w:rsidR="00AA4320" w:rsidRPr="00346DA3" w:rsidRDefault="007350F8" w:rsidP="00921BF8">
            <w:pPr>
              <w:autoSpaceDE w:val="0"/>
              <w:autoSpaceDN w:val="0"/>
              <w:adjustRightInd w:val="0"/>
              <w:spacing w:after="120" w:line="276" w:lineRule="auto"/>
              <w:rPr>
                <w:rFonts w:cstheme="minorHAnsi"/>
                <w:strike/>
                <w:color w:val="000000"/>
                <w:lang w:val="fr-FR"/>
              </w:rPr>
            </w:pPr>
            <w:proofErr w:type="gramStart"/>
            <w:r w:rsidRPr="00485A2B">
              <w:rPr>
                <w:rFonts w:ascii="Calibri" w:eastAsia="Calibri" w:hAnsi="Calibri" w:cs="Calibri"/>
                <w:b/>
                <w:bCs/>
                <w:color w:val="000000"/>
                <w:lang w:val="fr-FR"/>
              </w:rPr>
              <w:t>personnes</w:t>
            </w:r>
            <w:proofErr w:type="gramEnd"/>
            <w:r w:rsidRPr="00485A2B">
              <w:rPr>
                <w:rFonts w:ascii="Calibri" w:eastAsia="Calibri" w:hAnsi="Calibri" w:cs="Calibri"/>
                <w:b/>
                <w:bCs/>
                <w:color w:val="000000"/>
                <w:lang w:val="fr-FR"/>
              </w:rPr>
              <w:t xml:space="preserve"> handicapées </w:t>
            </w:r>
            <w:r w:rsidRPr="00485A2B">
              <w:rPr>
                <w:rFonts w:ascii="Calibri" w:eastAsia="Calibri" w:hAnsi="Calibri" w:cs="Calibri"/>
                <w:color w:val="000000"/>
                <w:lang w:val="fr-FR"/>
              </w:rPr>
              <w:t>(la préférence varie)</w:t>
            </w:r>
          </w:p>
        </w:tc>
        <w:tc>
          <w:tcPr>
            <w:tcW w:w="1667" w:type="pct"/>
          </w:tcPr>
          <w:p w14:paraId="5B3749FD"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handicapé</w:t>
            </w:r>
            <w:proofErr w:type="gramEnd"/>
          </w:p>
          <w:p w14:paraId="731E4992"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en</w:t>
            </w:r>
            <w:proofErr w:type="gramEnd"/>
            <w:r>
              <w:rPr>
                <w:rFonts w:ascii="Calibri" w:eastAsia="Calibri" w:hAnsi="Calibri" w:cs="Calibri"/>
                <w:color w:val="000000"/>
                <w:lang w:val="fr-FR"/>
              </w:rPr>
              <w:t xml:space="preserve"> incapacité</w:t>
            </w:r>
          </w:p>
          <w:p w14:paraId="6BF95DFF"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souffrant</w:t>
            </w:r>
            <w:proofErr w:type="gramEnd"/>
            <w:r>
              <w:rPr>
                <w:rFonts w:ascii="Calibri" w:eastAsia="Calibri" w:hAnsi="Calibri" w:cs="Calibri"/>
                <w:color w:val="000000"/>
                <w:lang w:val="fr-FR"/>
              </w:rPr>
              <w:t xml:space="preserve"> de handicap</w:t>
            </w:r>
          </w:p>
          <w:p w14:paraId="5897F87F"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les</w:t>
            </w:r>
            <w:proofErr w:type="gramEnd"/>
            <w:r>
              <w:rPr>
                <w:rFonts w:ascii="Calibri" w:eastAsia="Calibri" w:hAnsi="Calibri" w:cs="Calibri"/>
                <w:color w:val="000000"/>
                <w:lang w:val="fr-FR"/>
              </w:rPr>
              <w:t xml:space="preserve"> handicapés</w:t>
            </w:r>
          </w:p>
        </w:tc>
        <w:tc>
          <w:tcPr>
            <w:tcW w:w="1666" w:type="pct"/>
          </w:tcPr>
          <w:p w14:paraId="5924F986"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La préférence de la communauté pour une terminologie axée sur la personne ou l'identité (« les personnes handicapées ») varie, </w:t>
            </w:r>
            <w:r>
              <w:rPr>
                <w:rFonts w:ascii="Calibri" w:eastAsia="Calibri" w:hAnsi="Calibri" w:cs="Calibri"/>
                <w:color w:val="000000"/>
                <w:lang w:val="fr-FR"/>
              </w:rPr>
              <w:lastRenderedPageBreak/>
              <w:t>mais la plupart des gens s'accordent à dire que les euphémismes discriminent davantage les personnes en situation de handicap.</w:t>
            </w:r>
          </w:p>
        </w:tc>
      </w:tr>
      <w:tr w:rsidR="00896FB7" w:rsidRPr="00EE1EE3" w14:paraId="0376776C" w14:textId="77777777" w:rsidTr="00921BF8">
        <w:tc>
          <w:tcPr>
            <w:tcW w:w="1667" w:type="pct"/>
            <w:shd w:val="clear" w:color="auto" w:fill="EDEDED"/>
          </w:tcPr>
          <w:p w14:paraId="6E49E8D1"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lastRenderedPageBreak/>
              <w:t>valide</w:t>
            </w:r>
            <w:proofErr w:type="gramEnd"/>
          </w:p>
          <w:p w14:paraId="24758C58"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non</w:t>
            </w:r>
            <w:proofErr w:type="gramEnd"/>
            <w:r>
              <w:rPr>
                <w:rFonts w:ascii="Calibri" w:eastAsia="Calibri" w:hAnsi="Calibri" w:cs="Calibri"/>
                <w:b/>
                <w:bCs/>
                <w:color w:val="000000"/>
                <w:lang w:val="fr-FR"/>
              </w:rPr>
              <w:t>-handicapé</w:t>
            </w:r>
          </w:p>
          <w:p w14:paraId="4C95CD88"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qui</w:t>
            </w:r>
            <w:proofErr w:type="gramEnd"/>
            <w:r>
              <w:rPr>
                <w:rFonts w:ascii="Calibri" w:eastAsia="Calibri" w:hAnsi="Calibri" w:cs="Calibri"/>
                <w:b/>
                <w:bCs/>
                <w:color w:val="000000"/>
                <w:lang w:val="fr-FR"/>
              </w:rPr>
              <w:t xml:space="preserve"> n’est pas en situation de handicap</w:t>
            </w:r>
          </w:p>
          <w:p w14:paraId="29FAB1C6"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valide</w:t>
            </w:r>
          </w:p>
        </w:tc>
        <w:tc>
          <w:tcPr>
            <w:tcW w:w="1667" w:type="pct"/>
            <w:shd w:val="clear" w:color="auto" w:fill="EDEDED"/>
          </w:tcPr>
          <w:p w14:paraId="1182CAD4"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apte</w:t>
            </w:r>
            <w:proofErr w:type="gramEnd"/>
          </w:p>
          <w:p w14:paraId="61ABEEF2" w14:textId="77777777" w:rsidR="00AA4320"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normal</w:t>
            </w:r>
            <w:proofErr w:type="gramEnd"/>
          </w:p>
          <w:p w14:paraId="1BFAA224"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en</w:t>
            </w:r>
            <w:proofErr w:type="gramEnd"/>
            <w:r>
              <w:rPr>
                <w:rFonts w:ascii="Calibri" w:eastAsia="Calibri" w:hAnsi="Calibri" w:cs="Calibri"/>
                <w:color w:val="000000"/>
                <w:lang w:val="fr-FR"/>
              </w:rPr>
              <w:t xml:space="preserve"> bonne santé, contrairement aux personnes en situation de handicap</w:t>
            </w:r>
          </w:p>
        </w:tc>
        <w:tc>
          <w:tcPr>
            <w:tcW w:w="1666" w:type="pct"/>
            <w:shd w:val="clear" w:color="auto" w:fill="EDEDED"/>
          </w:tcPr>
          <w:p w14:paraId="792B0BF4"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Il est préférable d'utiliser l'expression « valide » pour désigner toutes les personnes qui ne sont pas en situation de handicap plutôt que « apte » afin d'inclure les handicaps cognitifs et les autres handicaps qui ne sont pas considérés comme principalement physiques. « Personne valide » reconnaît le rôle des systèmes qui privilégient certains niveaux de capacité par rapport à d'autres.</w:t>
            </w:r>
          </w:p>
        </w:tc>
      </w:tr>
      <w:tr w:rsidR="00896FB7" w:rsidRPr="00EE1EE3" w14:paraId="14F963FF" w14:textId="77777777" w:rsidTr="00921BF8">
        <w:tc>
          <w:tcPr>
            <w:tcW w:w="1667" w:type="pct"/>
          </w:tcPr>
          <w:p w14:paraId="72D00D5F" w14:textId="77777777" w:rsidR="0049559E" w:rsidRPr="00727EC8" w:rsidRDefault="007350F8" w:rsidP="00921BF8">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appareil</w:t>
            </w:r>
            <w:proofErr w:type="gramEnd"/>
            <w:r>
              <w:rPr>
                <w:rFonts w:ascii="Calibri" w:eastAsia="Calibri" w:hAnsi="Calibri" w:cs="Calibri"/>
                <w:b/>
                <w:bCs/>
                <w:color w:val="000000"/>
                <w:lang w:val="fr-FR"/>
              </w:rPr>
              <w:t>/technologie d'assistance</w:t>
            </w:r>
          </w:p>
          <w:p w14:paraId="329DFCFC" w14:textId="77777777" w:rsidR="0049559E"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équipement</w:t>
            </w:r>
            <w:proofErr w:type="gramEnd"/>
          </w:p>
        </w:tc>
        <w:tc>
          <w:tcPr>
            <w:tcW w:w="1667" w:type="pct"/>
          </w:tcPr>
          <w:p w14:paraId="71FF129B" w14:textId="77777777" w:rsidR="0049559E"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dispositif</w:t>
            </w:r>
            <w:proofErr w:type="gramEnd"/>
            <w:r>
              <w:rPr>
                <w:rFonts w:ascii="Calibri" w:eastAsia="Calibri" w:hAnsi="Calibri" w:cs="Calibri"/>
                <w:color w:val="000000"/>
                <w:lang w:val="fr-FR"/>
              </w:rPr>
              <w:t>/technologie de correction</w:t>
            </w:r>
          </w:p>
        </w:tc>
        <w:tc>
          <w:tcPr>
            <w:tcW w:w="1666" w:type="pct"/>
            <w:vMerge w:val="restart"/>
          </w:tcPr>
          <w:p w14:paraId="6179B3F3" w14:textId="77777777" w:rsidR="0049559E"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Les technologies et services d'assistance doivent être présentés comme apportant de l’aide à une personne plutôt que comme des équipements cherchant à « corriger » ou souligner les limites.</w:t>
            </w:r>
          </w:p>
        </w:tc>
      </w:tr>
      <w:tr w:rsidR="00896FB7" w:rsidRPr="00EE1EE3" w14:paraId="52B2F174" w14:textId="77777777" w:rsidTr="00921BF8">
        <w:tc>
          <w:tcPr>
            <w:tcW w:w="1667" w:type="pct"/>
          </w:tcPr>
          <w:p w14:paraId="3E7DE4A2" w14:textId="77777777" w:rsidR="0049559E"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b/>
                <w:bCs/>
                <w:color w:val="000000"/>
                <w:lang w:val="fr-FR"/>
              </w:rPr>
              <w:t>utilisateur</w:t>
            </w:r>
            <w:proofErr w:type="gramEnd"/>
            <w:r>
              <w:rPr>
                <w:rFonts w:ascii="Calibri" w:eastAsia="Calibri" w:hAnsi="Calibri" w:cs="Calibri"/>
                <w:b/>
                <w:bCs/>
                <w:color w:val="000000"/>
                <w:lang w:val="fr-FR"/>
              </w:rPr>
              <w:t xml:space="preserve"> de fauteuil roulant</w:t>
            </w:r>
          </w:p>
          <w:p w14:paraId="7EB90120" w14:textId="77777777" w:rsidR="0049559E"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qui utilise un fauteuil roulant</w:t>
            </w:r>
          </w:p>
        </w:tc>
        <w:tc>
          <w:tcPr>
            <w:tcW w:w="1667" w:type="pct"/>
          </w:tcPr>
          <w:p w14:paraId="1A6D2682" w14:textId="77777777" w:rsidR="0049559E"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en</w:t>
            </w:r>
            <w:proofErr w:type="gramEnd"/>
            <w:r>
              <w:rPr>
                <w:rFonts w:ascii="Calibri" w:eastAsia="Calibri" w:hAnsi="Calibri" w:cs="Calibri"/>
                <w:color w:val="000000"/>
                <w:lang w:val="fr-FR"/>
              </w:rPr>
              <w:t xml:space="preserve"> fauteuil roulant</w:t>
            </w:r>
          </w:p>
          <w:p w14:paraId="686B02B2" w14:textId="77777777" w:rsidR="0049559E"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rivé</w:t>
            </w:r>
            <w:proofErr w:type="gramEnd"/>
            <w:r>
              <w:rPr>
                <w:rFonts w:ascii="Calibri" w:eastAsia="Calibri" w:hAnsi="Calibri" w:cs="Calibri"/>
                <w:color w:val="000000"/>
                <w:lang w:val="fr-FR"/>
              </w:rPr>
              <w:t>(e) à un fauteuil roulant</w:t>
            </w:r>
          </w:p>
        </w:tc>
        <w:tc>
          <w:tcPr>
            <w:tcW w:w="1666" w:type="pct"/>
            <w:vMerge/>
          </w:tcPr>
          <w:p w14:paraId="6C534CB7" w14:textId="77777777" w:rsidR="0049559E" w:rsidRPr="00D15745" w:rsidRDefault="0049559E" w:rsidP="00921BF8">
            <w:pPr>
              <w:autoSpaceDE w:val="0"/>
              <w:autoSpaceDN w:val="0"/>
              <w:adjustRightInd w:val="0"/>
              <w:spacing w:after="120" w:line="276" w:lineRule="auto"/>
              <w:rPr>
                <w:rFonts w:cstheme="minorHAnsi"/>
                <w:color w:val="000000"/>
                <w:lang w:val="fr-FR"/>
              </w:rPr>
            </w:pPr>
          </w:p>
        </w:tc>
      </w:tr>
      <w:tr w:rsidR="00896FB7" w:rsidRPr="00EE1EE3" w14:paraId="6A8DA46F" w14:textId="77777777" w:rsidTr="00921BF8">
        <w:tc>
          <w:tcPr>
            <w:tcW w:w="1667" w:type="pct"/>
            <w:shd w:val="clear" w:color="auto" w:fill="EDEDED"/>
          </w:tcPr>
          <w:p w14:paraId="35E5DB6A" w14:textId="77777777" w:rsidR="0049559E"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présentant un [trouble mental spécifique]</w:t>
            </w:r>
          </w:p>
        </w:tc>
        <w:tc>
          <w:tcPr>
            <w:tcW w:w="1667" w:type="pct"/>
            <w:shd w:val="clear" w:color="auto" w:fill="EDEDED"/>
          </w:tcPr>
          <w:p w14:paraId="4E1F370A" w14:textId="77777777" w:rsidR="0049559E"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personne</w:t>
            </w:r>
            <w:proofErr w:type="gramEnd"/>
            <w:r>
              <w:rPr>
                <w:rFonts w:ascii="Calibri" w:eastAsia="Calibri" w:hAnsi="Calibri" w:cs="Calibri"/>
                <w:color w:val="000000"/>
                <w:lang w:val="fr-FR"/>
              </w:rPr>
              <w:t xml:space="preserve"> malade mentale</w:t>
            </w:r>
          </w:p>
          <w:p w14:paraId="1E8F6A0E" w14:textId="77777777" w:rsidR="0049559E" w:rsidRPr="00D15745" w:rsidRDefault="007350F8" w:rsidP="00921BF8">
            <w:pPr>
              <w:autoSpaceDE w:val="0"/>
              <w:autoSpaceDN w:val="0"/>
              <w:adjustRightInd w:val="0"/>
              <w:spacing w:after="0" w:line="276" w:lineRule="auto"/>
              <w:rPr>
                <w:rFonts w:cstheme="minorHAnsi"/>
                <w:color w:val="000000"/>
                <w:lang w:val="fr-FR"/>
              </w:rPr>
            </w:pPr>
            <w:proofErr w:type="gramStart"/>
            <w:r>
              <w:rPr>
                <w:rFonts w:ascii="Calibri" w:eastAsia="Calibri" w:hAnsi="Calibri" w:cs="Calibri"/>
                <w:color w:val="000000"/>
                <w:lang w:val="fr-FR"/>
              </w:rPr>
              <w:t>personne</w:t>
            </w:r>
            <w:proofErr w:type="gramEnd"/>
            <w:r>
              <w:rPr>
                <w:rFonts w:ascii="Calibri" w:eastAsia="Calibri" w:hAnsi="Calibri" w:cs="Calibri"/>
                <w:color w:val="000000"/>
                <w:lang w:val="fr-FR"/>
              </w:rPr>
              <w:t xml:space="preserve"> aliénée</w:t>
            </w:r>
          </w:p>
          <w:p w14:paraId="7EE45261" w14:textId="77777777" w:rsidR="0049559E"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les</w:t>
            </w:r>
            <w:proofErr w:type="gramEnd"/>
            <w:r>
              <w:rPr>
                <w:rFonts w:ascii="Calibri" w:eastAsia="Calibri" w:hAnsi="Calibri" w:cs="Calibri"/>
                <w:color w:val="000000"/>
                <w:lang w:val="fr-FR"/>
              </w:rPr>
              <w:t xml:space="preserve"> malades mentaux</w:t>
            </w:r>
          </w:p>
        </w:tc>
        <w:tc>
          <w:tcPr>
            <w:tcW w:w="1666" w:type="pct"/>
            <w:vMerge w:val="restart"/>
            <w:shd w:val="clear" w:color="auto" w:fill="EDEDED"/>
          </w:tcPr>
          <w:p w14:paraId="18395564" w14:textId="77777777" w:rsidR="0049559E"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langage axé sur la personne met l'accent sur l'humanité et dissipe l'idée fausse selon laquelle les troubles mentaux sont incurables. De plus, la folie est une définition juridique et non médicale.</w:t>
            </w:r>
          </w:p>
        </w:tc>
      </w:tr>
      <w:tr w:rsidR="00896FB7" w14:paraId="2C86D3B5" w14:textId="77777777" w:rsidTr="00921BF8">
        <w:tc>
          <w:tcPr>
            <w:tcW w:w="1667" w:type="pct"/>
            <w:shd w:val="clear" w:color="auto" w:fill="EDEDED"/>
          </w:tcPr>
          <w:p w14:paraId="56EA1EA0" w14:textId="77777777" w:rsidR="0049559E" w:rsidRPr="00D15745" w:rsidRDefault="007350F8" w:rsidP="00921BF8">
            <w:pPr>
              <w:autoSpaceDE w:val="0"/>
              <w:autoSpaceDN w:val="0"/>
              <w:adjustRightInd w:val="0"/>
              <w:spacing w:after="120" w:line="276" w:lineRule="auto"/>
              <w:rPr>
                <w:rFonts w:cstheme="minorHAnsi"/>
                <w:b/>
                <w:bCs/>
                <w:color w:val="000000"/>
                <w:lang w:val="fr-FR"/>
              </w:rPr>
            </w:pPr>
            <w:r>
              <w:rPr>
                <w:rFonts w:ascii="Calibri" w:eastAsia="Calibri" w:hAnsi="Calibri" w:cs="Calibri"/>
                <w:color w:val="000000"/>
                <w:lang w:val="fr-FR"/>
              </w:rPr>
              <w:t xml:space="preserve">Par exemple : </w:t>
            </w:r>
            <w:r>
              <w:rPr>
                <w:rFonts w:ascii="Calibri" w:eastAsia="Calibri" w:hAnsi="Calibri" w:cs="Calibri"/>
                <w:b/>
                <w:bCs/>
                <w:color w:val="000000"/>
                <w:lang w:val="fr-FR"/>
              </w:rPr>
              <w:t>personne présentant des troubles bipolaires</w:t>
            </w:r>
          </w:p>
        </w:tc>
        <w:tc>
          <w:tcPr>
            <w:tcW w:w="1667" w:type="pct"/>
            <w:shd w:val="clear" w:color="auto" w:fill="EDEDED"/>
          </w:tcPr>
          <w:p w14:paraId="6EA5B3F8" w14:textId="77777777" w:rsidR="0049559E" w:rsidRPr="00727EC8" w:rsidRDefault="007350F8"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fr-FR"/>
              </w:rPr>
              <w:t>[</w:t>
            </w:r>
            <w:proofErr w:type="gramStart"/>
            <w:r>
              <w:rPr>
                <w:rFonts w:ascii="Calibri" w:eastAsia="Calibri" w:hAnsi="Calibri" w:cs="Calibri"/>
                <w:color w:val="000000"/>
                <w:lang w:val="fr-FR"/>
              </w:rPr>
              <w:t>personne</w:t>
            </w:r>
            <w:proofErr w:type="gramEnd"/>
            <w:r>
              <w:rPr>
                <w:rFonts w:ascii="Calibri" w:eastAsia="Calibri" w:hAnsi="Calibri" w:cs="Calibri"/>
                <w:color w:val="000000"/>
                <w:lang w:val="fr-FR"/>
              </w:rPr>
              <w:t xml:space="preserve"> spécifique] est bipolaire</w:t>
            </w:r>
          </w:p>
        </w:tc>
        <w:tc>
          <w:tcPr>
            <w:tcW w:w="1666" w:type="pct"/>
            <w:vMerge/>
            <w:shd w:val="clear" w:color="auto" w:fill="EDEDED"/>
          </w:tcPr>
          <w:p w14:paraId="65F614BF" w14:textId="77777777" w:rsidR="0049559E" w:rsidRPr="00727EC8" w:rsidRDefault="0049559E" w:rsidP="00921BF8">
            <w:pPr>
              <w:autoSpaceDE w:val="0"/>
              <w:autoSpaceDN w:val="0"/>
              <w:adjustRightInd w:val="0"/>
              <w:spacing w:after="120" w:line="276" w:lineRule="auto"/>
              <w:rPr>
                <w:rFonts w:cstheme="minorHAnsi"/>
                <w:color w:val="000000"/>
              </w:rPr>
            </w:pPr>
          </w:p>
        </w:tc>
      </w:tr>
      <w:tr w:rsidR="00896FB7" w:rsidRPr="00EE1EE3" w14:paraId="293383C0" w14:textId="77777777" w:rsidTr="00921BF8">
        <w:tc>
          <w:tcPr>
            <w:tcW w:w="1667" w:type="pct"/>
          </w:tcPr>
          <w:p w14:paraId="4B7484F2"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décédé</w:t>
            </w:r>
            <w:proofErr w:type="gramEnd"/>
            <w:r>
              <w:rPr>
                <w:rFonts w:ascii="Calibri" w:eastAsia="Calibri" w:hAnsi="Calibri" w:cs="Calibri"/>
                <w:b/>
                <w:bCs/>
                <w:color w:val="000000"/>
                <w:lang w:val="fr-FR"/>
              </w:rPr>
              <w:t xml:space="preserve"> par suicide</w:t>
            </w:r>
          </w:p>
        </w:tc>
        <w:tc>
          <w:tcPr>
            <w:tcW w:w="1667" w:type="pct"/>
          </w:tcPr>
          <w:p w14:paraId="501D089C"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s'est</w:t>
            </w:r>
            <w:proofErr w:type="gramEnd"/>
            <w:r>
              <w:rPr>
                <w:rFonts w:ascii="Calibri" w:eastAsia="Calibri" w:hAnsi="Calibri" w:cs="Calibri"/>
                <w:color w:val="000000"/>
                <w:lang w:val="fr-FR"/>
              </w:rPr>
              <w:t xml:space="preserve"> suicidé</w:t>
            </w:r>
          </w:p>
        </w:tc>
        <w:tc>
          <w:tcPr>
            <w:tcW w:w="1666" w:type="pct"/>
          </w:tcPr>
          <w:p w14:paraId="04E03A91"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Le terme « s’est suicidé » évoque une responsabilité personnelle alors que le suicide est souvent la conséquence d'une maladie non traitée.</w:t>
            </w:r>
          </w:p>
        </w:tc>
      </w:tr>
    </w:tbl>
    <w:p w14:paraId="385223A2" w14:textId="77777777" w:rsidR="00AA4320" w:rsidRPr="00D15745" w:rsidRDefault="00AA4320" w:rsidP="00417223">
      <w:pPr>
        <w:spacing w:after="0" w:line="276" w:lineRule="auto"/>
        <w:rPr>
          <w:rFonts w:cstheme="minorHAnsi"/>
          <w:lang w:val="fr-FR"/>
        </w:rPr>
      </w:pPr>
    </w:p>
    <w:p w14:paraId="422DD13F" w14:textId="77777777"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Identités ethniques et culturelles</w:t>
      </w:r>
    </w:p>
    <w:p w14:paraId="72C13E18" w14:textId="503007D9"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De manière générale, le</w:t>
      </w:r>
      <w:r w:rsidR="006B4F00">
        <w:rPr>
          <w:rFonts w:ascii="Calibri" w:eastAsia="Calibri" w:hAnsi="Calibri" w:cs="Calibri"/>
          <w:sz w:val="22"/>
          <w:szCs w:val="22"/>
          <w:lang w:val="fr-FR"/>
        </w:rPr>
        <w:t>s</w:t>
      </w:r>
      <w:r>
        <w:rPr>
          <w:rFonts w:ascii="Calibri" w:eastAsia="Calibri" w:hAnsi="Calibri" w:cs="Calibri"/>
          <w:sz w:val="22"/>
          <w:szCs w:val="22"/>
          <w:lang w:val="fr-FR"/>
        </w:rPr>
        <w:t xml:space="preserve"> NIH utilise</w:t>
      </w:r>
      <w:r w:rsidR="006B4F00">
        <w:rPr>
          <w:rFonts w:ascii="Calibri" w:eastAsia="Calibri" w:hAnsi="Calibri" w:cs="Calibri"/>
          <w:sz w:val="22"/>
          <w:szCs w:val="22"/>
          <w:lang w:val="fr-FR"/>
        </w:rPr>
        <w:t>nt</w:t>
      </w:r>
      <w:r>
        <w:rPr>
          <w:rFonts w:ascii="Calibri" w:eastAsia="Calibri" w:hAnsi="Calibri" w:cs="Calibri"/>
          <w:sz w:val="22"/>
          <w:szCs w:val="22"/>
          <w:lang w:val="fr-FR"/>
        </w:rPr>
        <w:t xml:space="preserve"> une terminologie relative à l’origine ethnique alignée sur les normes de l’</w:t>
      </w:r>
      <w:r>
        <w:rPr>
          <w:rFonts w:ascii="Calibri" w:eastAsia="Calibri" w:hAnsi="Calibri" w:cs="Calibri"/>
          <w:color w:val="2E74B5"/>
          <w:sz w:val="22"/>
          <w:szCs w:val="22"/>
          <w:u w:val="single"/>
          <w:lang w:val="fr-FR"/>
        </w:rPr>
        <w:t>Office of Management and Budget (OMB)</w:t>
      </w:r>
      <w:r>
        <w:rPr>
          <w:rFonts w:ascii="Calibri" w:eastAsia="Calibri" w:hAnsi="Calibri" w:cs="Calibri"/>
          <w:sz w:val="22"/>
          <w:szCs w:val="22"/>
          <w:lang w:val="fr-FR"/>
        </w:rPr>
        <w:t xml:space="preserve"> de 1997 relative à l’appartenance ethnique. Selon l'OMB, ces termes « reflètent généralement une définition sociale des origines ethniques reconnues dans ce pays et non une tentative de définir celles-ci sur le plan biologique, anthropologique ou génétique ».</w:t>
      </w:r>
    </w:p>
    <w:p w14:paraId="7A78013F"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En outre, il est reconnu que les catégories qui composent l’identité ethnique sont l’origine ethnique ou les groupes socioculturels. Les individus peuvent choisir plus d'une origine ethnique pour évoquer leur mixité, tels que « Amérindien » et « Blanc ». Les personnes qui s’identifient comme d’appartenance ethnique hispanique, latino-américaine ou espagnole peuvent être de n'importe quelle origine ethnique.</w:t>
      </w:r>
    </w:p>
    <w:p w14:paraId="68D4C8B1" w14:textId="77777777" w:rsidR="00AA4320" w:rsidRPr="00D15745" w:rsidRDefault="007350F8" w:rsidP="00417223">
      <w:pPr>
        <w:spacing w:after="120" w:line="276" w:lineRule="auto"/>
        <w:rPr>
          <w:rFonts w:cstheme="minorHAnsi"/>
          <w:lang w:val="fr-FR"/>
        </w:rPr>
      </w:pPr>
      <w:r>
        <w:rPr>
          <w:rFonts w:ascii="Calibri" w:eastAsia="Calibri" w:hAnsi="Calibri" w:cs="Calibri"/>
          <w:lang w:val="fr-FR"/>
        </w:rPr>
        <w:t>Le tableau ci-dessous propose des éléments de réflexion linguistiques pour décrire les identités ethniques et culturelles identifiées par l'OMB. À quelques exceptions près, les termes utilisés pour décrire l’origine ethnique d'un peuple doivent être en majuscules.</w:t>
      </w:r>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896FB7" w14:paraId="716B8E2F" w14:textId="77777777" w:rsidTr="00CE0CEE">
        <w:tc>
          <w:tcPr>
            <w:tcW w:w="1667" w:type="pct"/>
            <w:tcBorders>
              <w:top w:val="nil"/>
              <w:left w:val="nil"/>
              <w:bottom w:val="single" w:sz="18" w:space="0" w:color="C9C9C9"/>
            </w:tcBorders>
          </w:tcPr>
          <w:p w14:paraId="4624236A" w14:textId="77777777" w:rsidR="00AA4320" w:rsidRPr="00727EC8" w:rsidRDefault="007350F8"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fr-FR"/>
              </w:rPr>
              <w:t>Groupe/Population</w:t>
            </w:r>
          </w:p>
        </w:tc>
        <w:tc>
          <w:tcPr>
            <w:tcW w:w="1667" w:type="pct"/>
            <w:tcBorders>
              <w:top w:val="nil"/>
              <w:bottom w:val="single" w:sz="18" w:space="0" w:color="C9C9C9"/>
            </w:tcBorders>
          </w:tcPr>
          <w:p w14:paraId="736F6FAC" w14:textId="08C186B3" w:rsidR="00AA4320" w:rsidRPr="00727EC8" w:rsidRDefault="007350F8"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fr-FR"/>
              </w:rPr>
              <w:t>Définition</w:t>
            </w:r>
            <w:r w:rsidR="00651F22">
              <w:rPr>
                <w:rFonts w:ascii="Calibri" w:eastAsia="Calibri" w:hAnsi="Calibri" w:cs="Calibri"/>
                <w:b/>
                <w:bCs/>
                <w:i/>
                <w:iCs/>
                <w:color w:val="2E74B5"/>
                <w:lang w:val="fr-FR"/>
              </w:rPr>
              <w:t xml:space="preserve"> </w:t>
            </w:r>
          </w:p>
        </w:tc>
        <w:tc>
          <w:tcPr>
            <w:tcW w:w="1666" w:type="pct"/>
            <w:tcBorders>
              <w:top w:val="nil"/>
              <w:bottom w:val="single" w:sz="18" w:space="0" w:color="C9C9C9"/>
              <w:right w:val="nil"/>
            </w:tcBorders>
          </w:tcPr>
          <w:p w14:paraId="151C1558" w14:textId="77777777" w:rsidR="00AA4320" w:rsidRPr="00727EC8" w:rsidRDefault="007350F8"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fr-FR"/>
              </w:rPr>
              <w:t>Éléments de réflexion linguistiques</w:t>
            </w:r>
          </w:p>
        </w:tc>
      </w:tr>
      <w:tr w:rsidR="00896FB7" w:rsidRPr="00EE1EE3" w14:paraId="0E934462" w14:textId="77777777" w:rsidTr="00CE0CEE">
        <w:tc>
          <w:tcPr>
            <w:tcW w:w="1667" w:type="pct"/>
            <w:tcBorders>
              <w:top w:val="single" w:sz="18" w:space="0" w:color="C9C9C9"/>
            </w:tcBorders>
            <w:shd w:val="clear" w:color="auto" w:fill="EDEDED"/>
          </w:tcPr>
          <w:p w14:paraId="463A8A46" w14:textId="77777777" w:rsidR="00AA4320" w:rsidRPr="00727EC8" w:rsidRDefault="007350F8" w:rsidP="00921BF8">
            <w:pPr>
              <w:autoSpaceDE w:val="0"/>
              <w:autoSpaceDN w:val="0"/>
              <w:adjustRightInd w:val="0"/>
              <w:spacing w:after="120" w:line="276" w:lineRule="auto"/>
              <w:rPr>
                <w:rFonts w:cstheme="minorHAnsi"/>
                <w:color w:val="000000"/>
              </w:rPr>
            </w:pPr>
            <w:r w:rsidRPr="00346DA3">
              <w:rPr>
                <w:rFonts w:ascii="Calibri" w:eastAsia="Calibri" w:hAnsi="Calibri" w:cs="Calibri"/>
                <w:b/>
                <w:bCs/>
                <w:color w:val="000000"/>
                <w:lang w:val="fr-FR"/>
              </w:rPr>
              <w:t>Blanc</w:t>
            </w:r>
          </w:p>
          <w:p w14:paraId="4ED77A2B" w14:textId="77777777" w:rsidR="00AA4320" w:rsidRPr="00727EC8" w:rsidRDefault="007350F8" w:rsidP="00921BF8">
            <w:pPr>
              <w:autoSpaceDE w:val="0"/>
              <w:autoSpaceDN w:val="0"/>
              <w:adjustRightInd w:val="0"/>
              <w:spacing w:after="120" w:line="276" w:lineRule="auto"/>
              <w:rPr>
                <w:rFonts w:cstheme="minorHAnsi"/>
                <w:color w:val="000000"/>
              </w:rPr>
            </w:pPr>
            <w:r w:rsidRPr="00346DA3">
              <w:rPr>
                <w:rFonts w:ascii="Calibri" w:eastAsia="Calibri" w:hAnsi="Calibri" w:cs="Calibri"/>
                <w:b/>
                <w:bCs/>
                <w:color w:val="000000"/>
                <w:lang w:val="fr-FR"/>
              </w:rPr>
              <w:t>Blanc</w:t>
            </w:r>
            <w:r>
              <w:rPr>
                <w:rFonts w:ascii="Calibri" w:eastAsia="Calibri" w:hAnsi="Calibri" w:cs="Calibri"/>
                <w:b/>
                <w:bCs/>
                <w:color w:val="000000"/>
                <w:lang w:val="fr-FR"/>
              </w:rPr>
              <w:t xml:space="preserve"> non hispanique</w:t>
            </w:r>
          </w:p>
        </w:tc>
        <w:tc>
          <w:tcPr>
            <w:tcW w:w="1667" w:type="pct"/>
            <w:tcBorders>
              <w:top w:val="single" w:sz="18" w:space="0" w:color="C9C9C9"/>
            </w:tcBorders>
            <w:shd w:val="clear" w:color="auto" w:fill="EDEDED"/>
          </w:tcPr>
          <w:p w14:paraId="3B769C30" w14:textId="2023ECED" w:rsidR="00AA4320" w:rsidRPr="00D15745" w:rsidRDefault="00B76545" w:rsidP="00921BF8">
            <w:pPr>
              <w:autoSpaceDE w:val="0"/>
              <w:autoSpaceDN w:val="0"/>
              <w:adjustRightInd w:val="0"/>
              <w:spacing w:after="120" w:line="276" w:lineRule="auto"/>
              <w:rPr>
                <w:rFonts w:cstheme="minorHAnsi"/>
                <w:color w:val="000000"/>
                <w:lang w:val="fr-FR"/>
              </w:rPr>
            </w:pPr>
            <w:hyperlink r:id="rId42" w:history="1">
              <w:r w:rsidR="007350F8">
                <w:rPr>
                  <w:rFonts w:ascii="Calibri" w:eastAsia="Calibri" w:hAnsi="Calibri" w:cs="Calibri"/>
                  <w:color w:val="0563C1"/>
                  <w:u w:val="single"/>
                  <w:lang w:val="fr-FR"/>
                </w:rPr>
                <w:t>OMB</w:t>
              </w:r>
            </w:hyperlink>
            <w:r w:rsidR="007350F8">
              <w:rPr>
                <w:rFonts w:ascii="Calibri" w:eastAsia="Calibri" w:hAnsi="Calibri" w:cs="Calibri"/>
                <w:color w:val="000000"/>
                <w:lang w:val="fr-FR"/>
              </w:rPr>
              <w:t> : personne dont les origines sont celles des peuples originaires d'Europe, du Moyen-Orient ou d'Afrique du Nord.</w:t>
            </w:r>
          </w:p>
        </w:tc>
        <w:tc>
          <w:tcPr>
            <w:tcW w:w="1666" w:type="pct"/>
            <w:tcBorders>
              <w:top w:val="single" w:sz="18" w:space="0" w:color="C9C9C9"/>
            </w:tcBorders>
            <w:shd w:val="clear" w:color="auto" w:fill="EDEDED"/>
          </w:tcPr>
          <w:p w14:paraId="5052ABBD"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Éviter les formulations qui font de « Blanc » l’identité par défaut, normale ou « sans origine ». Le terme « blanc non hispanique » est parfois utilisé pour préciser que le groupe décrit n'inclut pas les personnes hispaniques blanches.</w:t>
            </w:r>
          </w:p>
        </w:tc>
      </w:tr>
      <w:tr w:rsidR="00896FB7" w:rsidRPr="00EE1EE3" w14:paraId="04458639" w14:textId="77777777" w:rsidTr="00CE0CEE">
        <w:tc>
          <w:tcPr>
            <w:tcW w:w="1667" w:type="pct"/>
          </w:tcPr>
          <w:p w14:paraId="42B32B75" w14:textId="77777777" w:rsidR="00AA4320" w:rsidRPr="00727EC8" w:rsidRDefault="007350F8" w:rsidP="00921BF8">
            <w:pPr>
              <w:autoSpaceDE w:val="0"/>
              <w:autoSpaceDN w:val="0"/>
              <w:adjustRightInd w:val="0"/>
              <w:spacing w:after="120" w:line="276" w:lineRule="auto"/>
              <w:rPr>
                <w:rFonts w:cstheme="minorHAnsi"/>
                <w:color w:val="000000"/>
              </w:rPr>
            </w:pPr>
            <w:r w:rsidRPr="00346DA3">
              <w:rPr>
                <w:rFonts w:ascii="Calibri" w:eastAsia="Calibri" w:hAnsi="Calibri" w:cs="Calibri"/>
                <w:b/>
                <w:bCs/>
                <w:color w:val="000000"/>
                <w:lang w:val="fr-FR"/>
              </w:rPr>
              <w:t>Noir</w:t>
            </w:r>
            <w:r>
              <w:rPr>
                <w:rFonts w:ascii="Calibri" w:eastAsia="Calibri" w:hAnsi="Calibri" w:cs="Calibri"/>
                <w:b/>
                <w:bCs/>
                <w:color w:val="000000"/>
                <w:lang w:val="fr-FR"/>
              </w:rPr>
              <w:t xml:space="preserve"> </w:t>
            </w:r>
            <w:r>
              <w:rPr>
                <w:rFonts w:ascii="Calibri" w:eastAsia="Calibri" w:hAnsi="Calibri" w:cs="Calibri"/>
                <w:color w:val="000000"/>
                <w:lang w:val="fr-FR"/>
              </w:rPr>
              <w:t>ou</w:t>
            </w:r>
            <w:r>
              <w:rPr>
                <w:rFonts w:ascii="Calibri" w:eastAsia="Calibri" w:hAnsi="Calibri" w:cs="Calibri"/>
                <w:b/>
                <w:bCs/>
                <w:color w:val="000000"/>
                <w:lang w:val="fr-FR"/>
              </w:rPr>
              <w:t xml:space="preserve"> Afro-</w:t>
            </w:r>
            <w:r w:rsidRPr="00346DA3">
              <w:rPr>
                <w:rFonts w:ascii="Calibri" w:eastAsia="Calibri" w:hAnsi="Calibri" w:cs="Calibri"/>
                <w:b/>
                <w:bCs/>
                <w:color w:val="000000"/>
                <w:lang w:val="fr-FR"/>
              </w:rPr>
              <w:t>Américain</w:t>
            </w:r>
          </w:p>
        </w:tc>
        <w:tc>
          <w:tcPr>
            <w:tcW w:w="1667" w:type="pct"/>
          </w:tcPr>
          <w:p w14:paraId="6E9708C2" w14:textId="77777777" w:rsidR="00AA4320" w:rsidRPr="00D15745" w:rsidRDefault="00B76545" w:rsidP="00921BF8">
            <w:pPr>
              <w:autoSpaceDE w:val="0"/>
              <w:autoSpaceDN w:val="0"/>
              <w:adjustRightInd w:val="0"/>
              <w:spacing w:after="120" w:line="276" w:lineRule="auto"/>
              <w:rPr>
                <w:rFonts w:cstheme="minorHAnsi"/>
                <w:color w:val="000000"/>
                <w:lang w:val="fr-FR"/>
              </w:rPr>
            </w:pPr>
            <w:hyperlink r:id="rId43" w:history="1">
              <w:r w:rsidR="007350F8">
                <w:rPr>
                  <w:rFonts w:ascii="Calibri" w:eastAsia="Calibri" w:hAnsi="Calibri" w:cs="Calibri"/>
                  <w:color w:val="0563C1"/>
                  <w:u w:val="single"/>
                  <w:lang w:val="fr-FR"/>
                </w:rPr>
                <w:t>OMB</w:t>
              </w:r>
            </w:hyperlink>
            <w:r w:rsidR="007350F8">
              <w:rPr>
                <w:rFonts w:ascii="Calibri" w:eastAsia="Calibri" w:hAnsi="Calibri" w:cs="Calibri"/>
                <w:color w:val="000000"/>
                <w:lang w:val="fr-FR"/>
              </w:rPr>
              <w:t> : personne dont les origines sont celles de groupes ethniques noirs d'Afrique.</w:t>
            </w:r>
          </w:p>
        </w:tc>
        <w:tc>
          <w:tcPr>
            <w:tcW w:w="1666" w:type="pct"/>
          </w:tcPr>
          <w:p w14:paraId="3337F1D7"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Afro-américain » est acceptable dans certains contextes mais exclut les autres membres de la diaspora africaine. « Afro-américain » n’est pas considéré comme plus respectueux que « Noir. »</w:t>
            </w:r>
          </w:p>
        </w:tc>
      </w:tr>
      <w:tr w:rsidR="00896FB7" w:rsidRPr="00EE1EE3" w14:paraId="1C0BB05F" w14:textId="77777777" w:rsidTr="00CE0CEE">
        <w:tc>
          <w:tcPr>
            <w:tcW w:w="1667" w:type="pct"/>
            <w:shd w:val="clear" w:color="auto" w:fill="EDEDED"/>
          </w:tcPr>
          <w:p w14:paraId="7A3AE643" w14:textId="77777777" w:rsidR="00AA4320" w:rsidRPr="00D15745" w:rsidRDefault="007350F8" w:rsidP="00921BF8">
            <w:pPr>
              <w:autoSpaceDE w:val="0"/>
              <w:autoSpaceDN w:val="0"/>
              <w:adjustRightInd w:val="0"/>
              <w:spacing w:after="120" w:line="276" w:lineRule="auto"/>
              <w:rPr>
                <w:rFonts w:cstheme="minorHAnsi"/>
                <w:color w:val="000000"/>
                <w:lang w:val="fr-FR"/>
              </w:rPr>
            </w:pPr>
            <w:r w:rsidRPr="00346DA3">
              <w:rPr>
                <w:rFonts w:ascii="Calibri" w:eastAsia="Calibri" w:hAnsi="Calibri" w:cs="Calibri"/>
                <w:b/>
                <w:bCs/>
                <w:color w:val="000000"/>
                <w:lang w:val="fr-FR"/>
              </w:rPr>
              <w:t>Amérindien</w:t>
            </w:r>
            <w:r>
              <w:rPr>
                <w:rFonts w:ascii="Calibri" w:eastAsia="Calibri" w:hAnsi="Calibri" w:cs="Calibri"/>
                <w:b/>
                <w:bCs/>
                <w:color w:val="000000"/>
                <w:lang w:val="fr-FR"/>
              </w:rPr>
              <w:t xml:space="preserve"> </w:t>
            </w:r>
            <w:r>
              <w:rPr>
                <w:rFonts w:ascii="Calibri" w:eastAsia="Calibri" w:hAnsi="Calibri" w:cs="Calibri"/>
                <w:color w:val="000000"/>
                <w:lang w:val="fr-FR"/>
              </w:rPr>
              <w:t>ou</w:t>
            </w:r>
            <w:r>
              <w:rPr>
                <w:rFonts w:ascii="Calibri" w:eastAsia="Calibri" w:hAnsi="Calibri" w:cs="Calibri"/>
                <w:b/>
                <w:bCs/>
                <w:color w:val="000000"/>
                <w:lang w:val="fr-FR"/>
              </w:rPr>
              <w:t xml:space="preserve"> autochtone de l’Alaska</w:t>
            </w:r>
          </w:p>
        </w:tc>
        <w:tc>
          <w:tcPr>
            <w:tcW w:w="1667" w:type="pct"/>
            <w:shd w:val="clear" w:color="auto" w:fill="EDEDED"/>
          </w:tcPr>
          <w:p w14:paraId="40A082F7" w14:textId="77777777" w:rsidR="00AA4320" w:rsidRPr="00D15745" w:rsidRDefault="00B76545" w:rsidP="00921BF8">
            <w:pPr>
              <w:autoSpaceDE w:val="0"/>
              <w:autoSpaceDN w:val="0"/>
              <w:adjustRightInd w:val="0"/>
              <w:spacing w:after="120" w:line="276" w:lineRule="auto"/>
              <w:rPr>
                <w:rFonts w:cstheme="minorHAnsi"/>
                <w:color w:val="000000"/>
                <w:lang w:val="fr-FR"/>
              </w:rPr>
            </w:pPr>
            <w:hyperlink r:id="rId44" w:history="1">
              <w:r w:rsidR="007350F8">
                <w:rPr>
                  <w:rFonts w:ascii="Calibri" w:eastAsia="Calibri" w:hAnsi="Calibri" w:cs="Calibri"/>
                  <w:color w:val="0563C1"/>
                  <w:u w:val="single"/>
                  <w:lang w:val="fr-FR"/>
                </w:rPr>
                <w:t>OMB</w:t>
              </w:r>
            </w:hyperlink>
            <w:r w:rsidR="007350F8">
              <w:rPr>
                <w:rFonts w:ascii="Calibri" w:eastAsia="Calibri" w:hAnsi="Calibri" w:cs="Calibri"/>
                <w:color w:val="000000"/>
                <w:lang w:val="fr-FR"/>
              </w:rPr>
              <w:t> : personne dont les origines sont celles des peuples originaires d'Amérique du Nord et du Sud (y compris d'Amérique Centrale), et qui maintient une affiliation tribale ou un lien communautaire.</w:t>
            </w:r>
          </w:p>
        </w:tc>
        <w:tc>
          <w:tcPr>
            <w:tcW w:w="1666" w:type="pct"/>
            <w:shd w:val="clear" w:color="auto" w:fill="EDEDED"/>
          </w:tcPr>
          <w:p w14:paraId="68CD037D"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Pour faire référence à une personne ou à un groupe de personnes spécifiques, la meilleure pratique consiste à utiliser une identité tribale spécifique dans la mesure du possible. Pour désigner </w:t>
            </w:r>
            <w:r>
              <w:rPr>
                <w:rFonts w:ascii="Calibri" w:eastAsia="Calibri" w:hAnsi="Calibri" w:cs="Calibri"/>
                <w:color w:val="000000"/>
                <w:lang w:val="fr-FR"/>
              </w:rPr>
              <w:lastRenderedPageBreak/>
              <w:t>l’ensemble du groupe diversifié de personnes d'ascendance autochtone aux États-Unis, le terme « Amérindien » est généralement préféré à celui de « Indien d'Amérique », qui est considéré par certains comme un euphémisme. Ne jamais utiliser de termes péjoratifs du type « Esquimau » pour les autochtones de l’Alaska.</w:t>
            </w:r>
          </w:p>
        </w:tc>
      </w:tr>
      <w:tr w:rsidR="00896FB7" w:rsidRPr="00EE1EE3" w14:paraId="4CB7F451" w14:textId="77777777" w:rsidTr="00CE0CEE">
        <w:tc>
          <w:tcPr>
            <w:tcW w:w="1667" w:type="pct"/>
          </w:tcPr>
          <w:p w14:paraId="0779FDD0" w14:textId="77777777" w:rsidR="00CE0CEE" w:rsidRPr="00D15745" w:rsidRDefault="007350F8" w:rsidP="00921BF8">
            <w:pPr>
              <w:autoSpaceDE w:val="0"/>
              <w:autoSpaceDN w:val="0"/>
              <w:adjustRightInd w:val="0"/>
              <w:spacing w:after="120" w:line="276" w:lineRule="auto"/>
              <w:rPr>
                <w:rFonts w:cstheme="minorHAnsi"/>
                <w:color w:val="000000"/>
                <w:lang w:val="fr-FR"/>
              </w:rPr>
            </w:pPr>
            <w:r w:rsidRPr="00346DA3">
              <w:rPr>
                <w:rFonts w:ascii="Calibri" w:eastAsia="Calibri" w:hAnsi="Calibri" w:cs="Calibri"/>
                <w:b/>
                <w:bCs/>
                <w:color w:val="000000"/>
                <w:lang w:val="fr-FR"/>
              </w:rPr>
              <w:lastRenderedPageBreak/>
              <w:t>Natif</w:t>
            </w:r>
            <w:r>
              <w:rPr>
                <w:rFonts w:ascii="Calibri" w:eastAsia="Calibri" w:hAnsi="Calibri" w:cs="Calibri"/>
                <w:b/>
                <w:bCs/>
                <w:color w:val="000000"/>
                <w:lang w:val="fr-FR"/>
              </w:rPr>
              <w:t xml:space="preserve"> d’Hawaï </w:t>
            </w:r>
            <w:r>
              <w:rPr>
                <w:rFonts w:ascii="Calibri" w:eastAsia="Calibri" w:hAnsi="Calibri" w:cs="Calibri"/>
                <w:color w:val="000000"/>
                <w:lang w:val="fr-FR"/>
              </w:rPr>
              <w:t>ou</w:t>
            </w:r>
            <w:r>
              <w:rPr>
                <w:rFonts w:ascii="Calibri" w:eastAsia="Calibri" w:hAnsi="Calibri" w:cs="Calibri"/>
                <w:b/>
                <w:bCs/>
                <w:color w:val="000000"/>
                <w:lang w:val="fr-FR"/>
              </w:rPr>
              <w:t xml:space="preserve"> d’autres îles du Pacifique</w:t>
            </w:r>
          </w:p>
        </w:tc>
        <w:tc>
          <w:tcPr>
            <w:tcW w:w="1667" w:type="pct"/>
          </w:tcPr>
          <w:p w14:paraId="6E0ACB1C" w14:textId="6D4D34C3" w:rsidR="00CE0CEE" w:rsidRPr="00D15745" w:rsidRDefault="00B76545" w:rsidP="00921BF8">
            <w:pPr>
              <w:autoSpaceDE w:val="0"/>
              <w:autoSpaceDN w:val="0"/>
              <w:adjustRightInd w:val="0"/>
              <w:spacing w:after="120" w:line="276" w:lineRule="auto"/>
              <w:rPr>
                <w:rFonts w:cstheme="minorHAnsi"/>
                <w:color w:val="000000"/>
                <w:lang w:val="fr-FR"/>
              </w:rPr>
            </w:pPr>
            <w:hyperlink r:id="rId45" w:history="1">
              <w:r w:rsidR="007350F8">
                <w:rPr>
                  <w:rFonts w:ascii="Calibri" w:eastAsia="Calibri" w:hAnsi="Calibri" w:cs="Calibri"/>
                  <w:color w:val="0563C1"/>
                  <w:u w:val="single"/>
                  <w:lang w:val="fr-FR"/>
                </w:rPr>
                <w:t>OMB</w:t>
              </w:r>
            </w:hyperlink>
            <w:r w:rsidR="007350F8">
              <w:rPr>
                <w:rFonts w:ascii="Calibri" w:eastAsia="Calibri" w:hAnsi="Calibri" w:cs="Calibri"/>
                <w:color w:val="000000"/>
                <w:lang w:val="fr-FR"/>
              </w:rPr>
              <w:t>: personne ayant des origines dans l’un quelconque des groupes ethniques originels d’Hawaï, de Guam, des Samoa, ou d’autres îles du Pacifique</w:t>
            </w:r>
          </w:p>
        </w:tc>
        <w:tc>
          <w:tcPr>
            <w:tcW w:w="1666" w:type="pct"/>
          </w:tcPr>
          <w:p w14:paraId="2F1ED401" w14:textId="77777777" w:rsidR="00CE0CEE" w:rsidRPr="00D15745" w:rsidRDefault="00CE0CEE" w:rsidP="00921BF8">
            <w:pPr>
              <w:autoSpaceDE w:val="0"/>
              <w:autoSpaceDN w:val="0"/>
              <w:adjustRightInd w:val="0"/>
              <w:spacing w:after="120" w:line="276" w:lineRule="auto"/>
              <w:rPr>
                <w:rFonts w:cstheme="minorHAnsi"/>
                <w:color w:val="000000"/>
                <w:lang w:val="fr-FR"/>
              </w:rPr>
            </w:pPr>
          </w:p>
        </w:tc>
      </w:tr>
      <w:tr w:rsidR="00896FB7" w:rsidRPr="00EE1EE3" w14:paraId="4F8E4EEC" w14:textId="77777777" w:rsidTr="00CE0CEE">
        <w:tc>
          <w:tcPr>
            <w:tcW w:w="1667" w:type="pct"/>
            <w:shd w:val="clear" w:color="auto" w:fill="EDEDED"/>
          </w:tcPr>
          <w:p w14:paraId="4824ABFB" w14:textId="77777777" w:rsidR="00AA4320" w:rsidRPr="00727EC8" w:rsidRDefault="007350F8"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fr-FR"/>
              </w:rPr>
              <w:t>Originaire d’Asie</w:t>
            </w:r>
          </w:p>
        </w:tc>
        <w:tc>
          <w:tcPr>
            <w:tcW w:w="1667" w:type="pct"/>
            <w:shd w:val="clear" w:color="auto" w:fill="EDEDED"/>
          </w:tcPr>
          <w:p w14:paraId="41E68CE2" w14:textId="09149C2D" w:rsidR="00AA4320" w:rsidRPr="00D15745" w:rsidRDefault="00B76545" w:rsidP="00921BF8">
            <w:pPr>
              <w:autoSpaceDE w:val="0"/>
              <w:autoSpaceDN w:val="0"/>
              <w:adjustRightInd w:val="0"/>
              <w:spacing w:after="120" w:line="276" w:lineRule="auto"/>
              <w:rPr>
                <w:rFonts w:cstheme="minorHAnsi"/>
                <w:color w:val="000000"/>
                <w:lang w:val="fr-FR"/>
              </w:rPr>
            </w:pPr>
            <w:hyperlink r:id="rId46" w:history="1">
              <w:r w:rsidR="0060016C">
                <w:rPr>
                  <w:rFonts w:ascii="Calibri" w:eastAsia="Calibri" w:hAnsi="Calibri" w:cs="Calibri"/>
                  <w:color w:val="0563C1"/>
                  <w:u w:val="single"/>
                  <w:lang w:val="it-IT"/>
                </w:rPr>
                <w:t>OMB</w:t>
              </w:r>
            </w:hyperlink>
            <w:r w:rsidR="0060016C">
              <w:rPr>
                <w:rFonts w:ascii="Calibri" w:eastAsia="Calibri" w:hAnsi="Calibri" w:cs="Calibri"/>
                <w:color w:val="0563C1"/>
                <w:u w:val="single"/>
                <w:lang w:val="it-IT"/>
              </w:rPr>
              <w:t>:</w:t>
            </w:r>
            <w:r w:rsidR="007350F8">
              <w:rPr>
                <w:rFonts w:ascii="Calibri" w:eastAsia="Calibri" w:hAnsi="Calibri" w:cs="Calibri"/>
                <w:color w:val="000000"/>
                <w:lang w:val="fr-FR"/>
              </w:rPr>
              <w:t xml:space="preserve"> personne dont les origines sont celles des peuples originaires de l'Extrême-Orient, de l'Asie du Sud-Est ou du sous-continent indien, notamment par exemple le Cambodge, la Chine, l'Inde, le Japon, la Corée, la Malaisie, le Pakistan, les Îles Philippines, la Thaïlande et le Vietnam.</w:t>
            </w:r>
          </w:p>
        </w:tc>
        <w:tc>
          <w:tcPr>
            <w:tcW w:w="1666" w:type="pct"/>
            <w:shd w:val="clear" w:color="auto" w:fill="EDEDED"/>
          </w:tcPr>
          <w:p w14:paraId="44B785A1"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b/>
                <w:bCs/>
                <w:color w:val="000000"/>
                <w:lang w:val="fr-FR"/>
              </w:rPr>
              <w:t xml:space="preserve">Originaire d’Asie de l’Est </w:t>
            </w:r>
            <w:r>
              <w:rPr>
                <w:rFonts w:ascii="Calibri" w:eastAsia="Calibri" w:hAnsi="Calibri" w:cs="Calibri"/>
                <w:color w:val="000000"/>
                <w:lang w:val="fr-FR"/>
              </w:rPr>
              <w:t xml:space="preserve">peut être utilisé pour décrire les personnes ayant des origines en Chine, Corée, Japon, Taïwan ou Mongolie. </w:t>
            </w:r>
            <w:r>
              <w:rPr>
                <w:rFonts w:ascii="Calibri" w:eastAsia="Calibri" w:hAnsi="Calibri" w:cs="Calibri"/>
                <w:b/>
                <w:bCs/>
                <w:color w:val="000000"/>
                <w:lang w:val="fr-FR"/>
              </w:rPr>
              <w:t xml:space="preserve">Originaire d’Asie du Sud </w:t>
            </w:r>
            <w:r>
              <w:rPr>
                <w:rFonts w:ascii="Calibri" w:eastAsia="Calibri" w:hAnsi="Calibri" w:cs="Calibri"/>
                <w:color w:val="000000"/>
                <w:lang w:val="fr-FR"/>
              </w:rPr>
              <w:t xml:space="preserve">peut être utilisé pour décrire les personnes ayant des origines en Afghanistan, Pakistan, Inde, Bangladesh, Népal, Bhoutan, Sri Lanka ou Maldives. </w:t>
            </w:r>
            <w:r>
              <w:rPr>
                <w:rFonts w:ascii="Calibri" w:eastAsia="Calibri" w:hAnsi="Calibri" w:cs="Calibri"/>
                <w:b/>
                <w:bCs/>
                <w:color w:val="000000"/>
                <w:lang w:val="fr-FR"/>
              </w:rPr>
              <w:t xml:space="preserve">Originaire de l’Asie du Sud-Est </w:t>
            </w:r>
            <w:r>
              <w:rPr>
                <w:rFonts w:ascii="Calibri" w:eastAsia="Calibri" w:hAnsi="Calibri" w:cs="Calibri"/>
                <w:color w:val="000000"/>
                <w:lang w:val="fr-FR"/>
              </w:rPr>
              <w:t>peut être utilisé pour décrire les personnes ayant des origines dans les régions situées au sud de la Chine mais à l'est de l'Inde (Thaïlande, Vietnam, Malaisie, Singapour, Philippines, Laos, Indonésie, Brunei, Birmanie (Myanmar), Cambodge et Timor-Leste).</w:t>
            </w:r>
          </w:p>
        </w:tc>
      </w:tr>
      <w:tr w:rsidR="00896FB7" w:rsidRPr="00EE1EE3" w14:paraId="3474AADD" w14:textId="77777777" w:rsidTr="00CE0CEE">
        <w:tc>
          <w:tcPr>
            <w:tcW w:w="1667" w:type="pct"/>
          </w:tcPr>
          <w:p w14:paraId="2176A0FB" w14:textId="77777777" w:rsidR="00CE0CEE" w:rsidRPr="00727EC8" w:rsidRDefault="007350F8"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fr-FR"/>
              </w:rPr>
              <w:t>Latino-</w:t>
            </w:r>
            <w:r w:rsidRPr="00346DA3">
              <w:rPr>
                <w:rFonts w:ascii="Calibri" w:eastAsia="Calibri" w:hAnsi="Calibri" w:cs="Calibri"/>
                <w:b/>
                <w:bCs/>
                <w:color w:val="000000"/>
                <w:lang w:val="fr-FR"/>
              </w:rPr>
              <w:t>américain</w:t>
            </w:r>
            <w:r>
              <w:rPr>
                <w:rFonts w:ascii="Calibri" w:eastAsia="Calibri" w:hAnsi="Calibri" w:cs="Calibri"/>
                <w:color w:val="000000"/>
                <w:lang w:val="fr-FR"/>
              </w:rPr>
              <w:t xml:space="preserve"> ou </w:t>
            </w:r>
            <w:proofErr w:type="spellStart"/>
            <w:r>
              <w:rPr>
                <w:rFonts w:ascii="Calibri" w:eastAsia="Calibri" w:hAnsi="Calibri" w:cs="Calibri"/>
                <w:b/>
                <w:bCs/>
                <w:color w:val="000000"/>
                <w:lang w:val="fr-FR"/>
              </w:rPr>
              <w:t>Latinx</w:t>
            </w:r>
            <w:proofErr w:type="spellEnd"/>
          </w:p>
        </w:tc>
        <w:tc>
          <w:tcPr>
            <w:tcW w:w="1667" w:type="pct"/>
          </w:tcPr>
          <w:p w14:paraId="5F0A9094" w14:textId="77777777" w:rsidR="00CE0CEE"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d’origine</w:t>
            </w:r>
            <w:proofErr w:type="gramEnd"/>
            <w:r>
              <w:rPr>
                <w:rFonts w:ascii="Calibri" w:eastAsia="Calibri" w:hAnsi="Calibri" w:cs="Calibri"/>
                <w:color w:val="000000"/>
                <w:lang w:val="fr-FR"/>
              </w:rPr>
              <w:t xml:space="preserve"> ou descendant de personnes originaires d'Amérique latine, notamment </w:t>
            </w:r>
            <w:r>
              <w:rPr>
                <w:rFonts w:ascii="Calibri" w:eastAsia="Calibri" w:hAnsi="Calibri" w:cs="Calibri"/>
                <w:color w:val="000000"/>
                <w:lang w:val="fr-FR"/>
              </w:rPr>
              <w:lastRenderedPageBreak/>
              <w:t>de Cuba, du Mexique, de Porto Rico, d'Amérique du Sud ou d'Amérique centrale</w:t>
            </w:r>
          </w:p>
        </w:tc>
        <w:tc>
          <w:tcPr>
            <w:tcW w:w="1666" w:type="pct"/>
            <w:vMerge w:val="restart"/>
          </w:tcPr>
          <w:p w14:paraId="33595DFA" w14:textId="77777777" w:rsidR="00CE0CEE"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lastRenderedPageBreak/>
              <w:t xml:space="preserve">Selon l’OMB, les personnes qui s’identifient comme d’appartenance ethnique </w:t>
            </w:r>
            <w:r>
              <w:rPr>
                <w:rFonts w:ascii="Calibri" w:eastAsia="Calibri" w:hAnsi="Calibri" w:cs="Calibri"/>
                <w:color w:val="000000"/>
                <w:lang w:val="fr-FR"/>
              </w:rPr>
              <w:lastRenderedPageBreak/>
              <w:t>hispanique, latino-américaine ou espagnole peuvent être de n'importe quelle origine ethnique.</w:t>
            </w:r>
          </w:p>
          <w:p w14:paraId="0676FBFE" w14:textId="77777777" w:rsidR="00CE0CEE"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La plupart des personnes ayant des origines au Brésil sont considérées comme latino-américaines mais pas hispaniques car la plupart des Brésiliens parlent le portugais. De même, les Espagnols sont considérés comme hispaniques mais non comme latino-américains.</w:t>
            </w:r>
          </w:p>
          <w:p w14:paraId="1DADED48" w14:textId="77777777" w:rsidR="00CE0CEE"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Certaines personnes considèrent qu</w:t>
            </w:r>
            <w:proofErr w:type="gramStart"/>
            <w:r>
              <w:rPr>
                <w:rFonts w:ascii="Calibri" w:eastAsia="Calibri" w:hAnsi="Calibri" w:cs="Calibri"/>
                <w:color w:val="000000"/>
                <w:lang w:val="fr-FR"/>
              </w:rPr>
              <w:t>’«</w:t>
            </w:r>
            <w:proofErr w:type="gramEnd"/>
            <w:r>
              <w:rPr>
                <w:rFonts w:ascii="Calibri" w:eastAsia="Calibri" w:hAnsi="Calibri" w:cs="Calibri"/>
                <w:color w:val="000000"/>
                <w:lang w:val="fr-FR"/>
              </w:rPr>
              <w:t> espagnol » est un synonyme d'hispanique tandis que d'autres rejettent ce terme car il implique d’avoir des origines en Espagne.</w:t>
            </w:r>
          </w:p>
        </w:tc>
      </w:tr>
      <w:tr w:rsidR="00896FB7" w14:paraId="2F047C88" w14:textId="77777777" w:rsidTr="00CE0CEE">
        <w:tc>
          <w:tcPr>
            <w:tcW w:w="1667" w:type="pct"/>
          </w:tcPr>
          <w:p w14:paraId="7ACBB39A" w14:textId="77777777" w:rsidR="00CE0CEE" w:rsidRPr="00727EC8" w:rsidRDefault="007350F8"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fr-FR"/>
              </w:rPr>
              <w:lastRenderedPageBreak/>
              <w:t>Hispanique</w:t>
            </w:r>
          </w:p>
        </w:tc>
        <w:tc>
          <w:tcPr>
            <w:tcW w:w="1667" w:type="pct"/>
          </w:tcPr>
          <w:p w14:paraId="73B61A8C" w14:textId="77777777" w:rsidR="00CE0CEE"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color w:val="000000"/>
                <w:lang w:val="fr-FR"/>
              </w:rPr>
              <w:t>descendant</w:t>
            </w:r>
            <w:proofErr w:type="gramEnd"/>
            <w:r>
              <w:rPr>
                <w:rFonts w:ascii="Calibri" w:eastAsia="Calibri" w:hAnsi="Calibri" w:cs="Calibri"/>
                <w:color w:val="000000"/>
                <w:lang w:val="fr-FR"/>
              </w:rPr>
              <w:t xml:space="preserve"> de populations hispanophones</w:t>
            </w:r>
          </w:p>
        </w:tc>
        <w:tc>
          <w:tcPr>
            <w:tcW w:w="1666" w:type="pct"/>
            <w:vMerge/>
          </w:tcPr>
          <w:p w14:paraId="2C255396" w14:textId="77777777" w:rsidR="00CE0CEE" w:rsidRPr="00727EC8" w:rsidRDefault="00CE0CEE" w:rsidP="00921BF8">
            <w:pPr>
              <w:autoSpaceDE w:val="0"/>
              <w:autoSpaceDN w:val="0"/>
              <w:adjustRightInd w:val="0"/>
              <w:spacing w:after="120" w:line="276" w:lineRule="auto"/>
              <w:rPr>
                <w:rFonts w:cstheme="minorHAnsi"/>
                <w:color w:val="000000"/>
              </w:rPr>
            </w:pPr>
          </w:p>
        </w:tc>
      </w:tr>
      <w:tr w:rsidR="00896FB7" w:rsidRPr="00EE1EE3" w14:paraId="47C9A7FF" w14:textId="77777777" w:rsidTr="00CE0CEE">
        <w:tc>
          <w:tcPr>
            <w:tcW w:w="1667" w:type="pct"/>
            <w:shd w:val="clear" w:color="auto" w:fill="EDEDED"/>
          </w:tcPr>
          <w:p w14:paraId="5A2A3B7B"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personne</w:t>
            </w:r>
            <w:proofErr w:type="gramEnd"/>
            <w:r>
              <w:rPr>
                <w:rFonts w:ascii="Calibri" w:eastAsia="Calibri" w:hAnsi="Calibri" w:cs="Calibri"/>
                <w:b/>
                <w:bCs/>
                <w:color w:val="000000"/>
                <w:lang w:val="fr-FR"/>
              </w:rPr>
              <w:t xml:space="preserve"> de couleur</w:t>
            </w:r>
          </w:p>
        </w:tc>
        <w:tc>
          <w:tcPr>
            <w:tcW w:w="1667" w:type="pct"/>
            <w:shd w:val="clear" w:color="auto" w:fill="EDEDED"/>
          </w:tcPr>
          <w:p w14:paraId="2138C1DD"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toute</w:t>
            </w:r>
            <w:proofErr w:type="gramEnd"/>
            <w:r>
              <w:rPr>
                <w:rFonts w:ascii="Calibri" w:eastAsia="Calibri" w:hAnsi="Calibri" w:cs="Calibri"/>
                <w:color w:val="000000"/>
                <w:lang w:val="fr-FR"/>
              </w:rPr>
              <w:t xml:space="preserve"> personne qui n'est ni blanche ni d'origine européenne</w:t>
            </w:r>
          </w:p>
        </w:tc>
        <w:tc>
          <w:tcPr>
            <w:tcW w:w="1666" w:type="pct"/>
            <w:shd w:val="clear" w:color="auto" w:fill="EDEDED"/>
          </w:tcPr>
          <w:p w14:paraId="19720F82"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Beaucoup préfèrent ce terme à celui de « minorités ethniques » et le considèrent comme englobant toutes les ethnies non blanches, alors que les personnes ayant une identité non blanche peuvent ne pas s'identifier à ce terme. D'autres encore considèrent qu'il s'agit d'un euphémisme ou que le terme est inadapté. Ne pas employer le terme « personnes de couleur » pour désigner un groupe ethnique non blanc spécifique ; utiliser un terme spécifique à ce groupe.</w:t>
            </w:r>
          </w:p>
        </w:tc>
      </w:tr>
      <w:tr w:rsidR="00896FB7" w:rsidRPr="00EE1EE3" w14:paraId="794769A5" w14:textId="77777777" w:rsidTr="00CE0CEE">
        <w:tc>
          <w:tcPr>
            <w:tcW w:w="1667" w:type="pct"/>
          </w:tcPr>
          <w:p w14:paraId="1E3EBD34"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Pr>
                <w:rFonts w:ascii="Calibri" w:eastAsia="Calibri" w:hAnsi="Calibri" w:cs="Calibri"/>
                <w:b/>
                <w:bCs/>
                <w:color w:val="000000"/>
                <w:lang w:val="fr-FR"/>
              </w:rPr>
              <w:t>communautés</w:t>
            </w:r>
            <w:proofErr w:type="gramEnd"/>
            <w:r>
              <w:rPr>
                <w:rFonts w:ascii="Calibri" w:eastAsia="Calibri" w:hAnsi="Calibri" w:cs="Calibri"/>
                <w:b/>
                <w:bCs/>
                <w:color w:val="000000"/>
                <w:lang w:val="fr-FR"/>
              </w:rPr>
              <w:t xml:space="preserve"> racisées</w:t>
            </w:r>
          </w:p>
        </w:tc>
        <w:tc>
          <w:tcPr>
            <w:tcW w:w="1667" w:type="pct"/>
          </w:tcPr>
          <w:p w14:paraId="67ED2604"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le</w:t>
            </w:r>
            <w:proofErr w:type="gramEnd"/>
            <w:r>
              <w:rPr>
                <w:rFonts w:ascii="Calibri" w:eastAsia="Calibri" w:hAnsi="Calibri" w:cs="Calibri"/>
                <w:color w:val="000000"/>
                <w:lang w:val="fr-FR"/>
              </w:rPr>
              <w:t xml:space="preserve"> fait qu’un groupe soit affecté ou classé selon une hiérarchie raciale</w:t>
            </w:r>
          </w:p>
        </w:tc>
        <w:tc>
          <w:tcPr>
            <w:tcW w:w="1666" w:type="pct"/>
          </w:tcPr>
          <w:p w14:paraId="0FD85527"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 xml:space="preserve">Aux États-Unis et au Canada, ce terme est parfois préféré à celui de « minorités ethniques » car il englobe des groupes non blancs </w:t>
            </w:r>
            <w:r>
              <w:rPr>
                <w:rFonts w:ascii="Calibri" w:eastAsia="Calibri" w:hAnsi="Calibri" w:cs="Calibri"/>
                <w:color w:val="000000"/>
                <w:lang w:val="fr-FR"/>
              </w:rPr>
              <w:lastRenderedPageBreak/>
              <w:t>qui peuvent constituer une majorité d'individus dans une zone géographique donnée. Le terme définit également l’origine ethnique comme une identité attribuée et reconnaît que l'identité d'un individu peut différer de la perception d'un autre individu, ce qui peut être utile pour établir une distinction avec les informations sur l’origine ethnique déclarées par l'individu lui-même.</w:t>
            </w:r>
          </w:p>
        </w:tc>
      </w:tr>
      <w:tr w:rsidR="00896FB7" w:rsidRPr="00EE1EE3" w14:paraId="4BCF5CEB" w14:textId="77777777" w:rsidTr="00CE0CEE">
        <w:tc>
          <w:tcPr>
            <w:tcW w:w="1667" w:type="pct"/>
            <w:shd w:val="clear" w:color="auto" w:fill="EDEDED"/>
          </w:tcPr>
          <w:p w14:paraId="43ACCCC9" w14:textId="77777777" w:rsidR="00AA4320" w:rsidRPr="00727EC8" w:rsidRDefault="007350F8" w:rsidP="00921BF8">
            <w:pPr>
              <w:autoSpaceDE w:val="0"/>
              <w:autoSpaceDN w:val="0"/>
              <w:adjustRightInd w:val="0"/>
              <w:spacing w:after="0" w:line="276" w:lineRule="auto"/>
              <w:rPr>
                <w:rFonts w:cstheme="minorHAnsi"/>
                <w:color w:val="000000"/>
              </w:rPr>
            </w:pPr>
            <w:proofErr w:type="spellStart"/>
            <w:proofErr w:type="gramStart"/>
            <w:r>
              <w:rPr>
                <w:rFonts w:ascii="Calibri" w:eastAsia="Calibri" w:hAnsi="Calibri" w:cs="Calibri"/>
                <w:b/>
                <w:bCs/>
                <w:color w:val="000000"/>
                <w:lang w:val="fr-FR"/>
              </w:rPr>
              <w:lastRenderedPageBreak/>
              <w:t>biethnique</w:t>
            </w:r>
            <w:proofErr w:type="spellEnd"/>
            <w:proofErr w:type="gramEnd"/>
          </w:p>
          <w:p w14:paraId="57391FF2" w14:textId="77777777" w:rsidR="00AA4320" w:rsidRPr="00727EC8" w:rsidRDefault="007350F8" w:rsidP="00921BF8">
            <w:pPr>
              <w:autoSpaceDE w:val="0"/>
              <w:autoSpaceDN w:val="0"/>
              <w:adjustRightInd w:val="0"/>
              <w:spacing w:after="0" w:line="276" w:lineRule="auto"/>
              <w:rPr>
                <w:rFonts w:cstheme="minorHAnsi"/>
                <w:color w:val="000000"/>
              </w:rPr>
            </w:pPr>
            <w:proofErr w:type="gramStart"/>
            <w:r>
              <w:rPr>
                <w:rFonts w:ascii="Calibri" w:eastAsia="Calibri" w:hAnsi="Calibri" w:cs="Calibri"/>
                <w:b/>
                <w:bCs/>
                <w:color w:val="000000"/>
                <w:lang w:val="fr-FR"/>
              </w:rPr>
              <w:t>multiethnique</w:t>
            </w:r>
            <w:proofErr w:type="gramEnd"/>
          </w:p>
          <w:p w14:paraId="458B7A74" w14:textId="77777777" w:rsidR="00AA4320" w:rsidRPr="00727EC8" w:rsidRDefault="007350F8" w:rsidP="00921BF8">
            <w:pPr>
              <w:autoSpaceDE w:val="0"/>
              <w:autoSpaceDN w:val="0"/>
              <w:adjustRightInd w:val="0"/>
              <w:spacing w:after="120" w:line="276" w:lineRule="auto"/>
              <w:rPr>
                <w:rFonts w:cstheme="minorHAnsi"/>
                <w:color w:val="000000"/>
              </w:rPr>
            </w:pPr>
            <w:proofErr w:type="gramStart"/>
            <w:r w:rsidRPr="00346DA3">
              <w:rPr>
                <w:rFonts w:ascii="Calibri" w:eastAsia="Calibri" w:hAnsi="Calibri" w:cs="Calibri"/>
                <w:b/>
                <w:bCs/>
                <w:color w:val="000000"/>
                <w:lang w:val="fr-FR"/>
              </w:rPr>
              <w:t>métissé</w:t>
            </w:r>
            <w:proofErr w:type="gramEnd"/>
          </w:p>
        </w:tc>
        <w:tc>
          <w:tcPr>
            <w:tcW w:w="1667" w:type="pct"/>
            <w:shd w:val="clear" w:color="auto" w:fill="EDEDED"/>
          </w:tcPr>
          <w:p w14:paraId="12E5916E"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personne</w:t>
            </w:r>
            <w:proofErr w:type="gramEnd"/>
            <w:r>
              <w:rPr>
                <w:rFonts w:ascii="Calibri" w:eastAsia="Calibri" w:hAnsi="Calibri" w:cs="Calibri"/>
                <w:color w:val="000000"/>
                <w:lang w:val="fr-FR"/>
              </w:rPr>
              <w:t xml:space="preserve"> ayant des parents ou des ancêtres de différentes origines ethniques</w:t>
            </w:r>
          </w:p>
        </w:tc>
        <w:tc>
          <w:tcPr>
            <w:tcW w:w="1666" w:type="pct"/>
            <w:shd w:val="clear" w:color="auto" w:fill="EDEDED"/>
          </w:tcPr>
          <w:p w14:paraId="0C08E1E9"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Certains considèrent que l'utilisation du terme « métissé » seul est stigmatisant, tandis que d'autres le revendiquent positivement. Le terme « métissé » est fréquemment utilisé dans le monde universitaire et ailleurs, bien que certains soulignent son potentiel stigmatisant.</w:t>
            </w:r>
          </w:p>
        </w:tc>
      </w:tr>
      <w:tr w:rsidR="00896FB7" w:rsidRPr="00EE1EE3" w14:paraId="7E7E72DD" w14:textId="77777777" w:rsidTr="00CE0CEE">
        <w:tc>
          <w:tcPr>
            <w:tcW w:w="1667" w:type="pct"/>
          </w:tcPr>
          <w:p w14:paraId="6D2C82D4" w14:textId="77777777" w:rsidR="00AA4320" w:rsidRPr="00D15745" w:rsidRDefault="007350F8" w:rsidP="00921BF8">
            <w:pPr>
              <w:autoSpaceDE w:val="0"/>
              <w:autoSpaceDN w:val="0"/>
              <w:adjustRightInd w:val="0"/>
              <w:spacing w:after="0" w:line="276" w:lineRule="auto"/>
              <w:rPr>
                <w:rFonts w:cstheme="minorHAnsi"/>
                <w:color w:val="000000"/>
                <w:lang w:val="fr-FR"/>
              </w:rPr>
            </w:pPr>
            <w:r>
              <w:rPr>
                <w:rFonts w:ascii="Calibri" w:eastAsia="Calibri" w:hAnsi="Calibri" w:cs="Calibri"/>
                <w:b/>
                <w:bCs/>
                <w:color w:val="000000"/>
                <w:lang w:val="fr-FR"/>
              </w:rPr>
              <w:t>Peuples indigènes</w:t>
            </w:r>
          </w:p>
          <w:p w14:paraId="5FA3E897" w14:textId="77777777" w:rsidR="00AA4320" w:rsidRPr="00D15745" w:rsidRDefault="007350F8" w:rsidP="00921BF8">
            <w:pPr>
              <w:autoSpaceDE w:val="0"/>
              <w:autoSpaceDN w:val="0"/>
              <w:adjustRightInd w:val="0"/>
              <w:spacing w:after="0" w:line="276" w:lineRule="auto"/>
              <w:rPr>
                <w:rFonts w:cstheme="minorHAnsi"/>
                <w:color w:val="000000"/>
                <w:lang w:val="fr-FR"/>
              </w:rPr>
            </w:pPr>
            <w:r>
              <w:rPr>
                <w:rFonts w:ascii="Calibri" w:eastAsia="Calibri" w:hAnsi="Calibri" w:cs="Calibri"/>
                <w:b/>
                <w:bCs/>
                <w:color w:val="000000"/>
                <w:lang w:val="fr-FR"/>
              </w:rPr>
              <w:t>Premiers peuples</w:t>
            </w:r>
          </w:p>
          <w:p w14:paraId="2E1EC026" w14:textId="77777777" w:rsidR="00AA4320" w:rsidRPr="00D15745" w:rsidRDefault="007350F8" w:rsidP="00921BF8">
            <w:pPr>
              <w:autoSpaceDE w:val="0"/>
              <w:autoSpaceDN w:val="0"/>
              <w:adjustRightInd w:val="0"/>
              <w:spacing w:after="0" w:line="276" w:lineRule="auto"/>
              <w:rPr>
                <w:rFonts w:cstheme="minorHAnsi"/>
                <w:color w:val="000000"/>
                <w:lang w:val="fr-FR"/>
              </w:rPr>
            </w:pPr>
            <w:r>
              <w:rPr>
                <w:rFonts w:ascii="Calibri" w:eastAsia="Calibri" w:hAnsi="Calibri" w:cs="Calibri"/>
                <w:b/>
                <w:bCs/>
                <w:color w:val="000000"/>
                <w:lang w:val="fr-FR"/>
              </w:rPr>
              <w:t>Premières Nations</w:t>
            </w:r>
          </w:p>
          <w:p w14:paraId="6CBE3CBB" w14:textId="77777777" w:rsidR="00AA4320" w:rsidRPr="00727EC8" w:rsidRDefault="007350F8" w:rsidP="00921BF8">
            <w:pPr>
              <w:autoSpaceDE w:val="0"/>
              <w:autoSpaceDN w:val="0"/>
              <w:adjustRightInd w:val="0"/>
              <w:spacing w:after="0" w:line="276" w:lineRule="auto"/>
              <w:rPr>
                <w:rFonts w:cstheme="minorHAnsi"/>
                <w:color w:val="000000"/>
              </w:rPr>
            </w:pPr>
            <w:r>
              <w:rPr>
                <w:rFonts w:ascii="Calibri" w:eastAsia="Calibri" w:hAnsi="Calibri" w:cs="Calibri"/>
                <w:b/>
                <w:bCs/>
                <w:color w:val="000000"/>
                <w:lang w:val="fr-FR"/>
              </w:rPr>
              <w:t>Peuples autochtones</w:t>
            </w:r>
          </w:p>
          <w:p w14:paraId="592CC459" w14:textId="77777777" w:rsidR="00AA4320" w:rsidRPr="00727EC8" w:rsidRDefault="007350F8"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fr-FR"/>
              </w:rPr>
              <w:t>Peuples natifs</w:t>
            </w:r>
          </w:p>
        </w:tc>
        <w:tc>
          <w:tcPr>
            <w:tcW w:w="1667" w:type="pct"/>
          </w:tcPr>
          <w:p w14:paraId="25757242" w14:textId="77777777" w:rsidR="00AA4320" w:rsidRPr="00D15745" w:rsidRDefault="007350F8" w:rsidP="00921BF8">
            <w:pPr>
              <w:autoSpaceDE w:val="0"/>
              <w:autoSpaceDN w:val="0"/>
              <w:adjustRightInd w:val="0"/>
              <w:spacing w:after="120" w:line="276" w:lineRule="auto"/>
              <w:rPr>
                <w:rFonts w:cstheme="minorHAnsi"/>
                <w:color w:val="000000"/>
                <w:lang w:val="fr-FR"/>
              </w:rPr>
            </w:pPr>
            <w:proofErr w:type="gramStart"/>
            <w:r>
              <w:rPr>
                <w:rFonts w:ascii="Calibri" w:eastAsia="Calibri" w:hAnsi="Calibri" w:cs="Calibri"/>
                <w:color w:val="000000"/>
                <w:lang w:val="fr-FR"/>
              </w:rPr>
              <w:t>personnes</w:t>
            </w:r>
            <w:proofErr w:type="gramEnd"/>
            <w:r>
              <w:rPr>
                <w:rFonts w:ascii="Calibri" w:eastAsia="Calibri" w:hAnsi="Calibri" w:cs="Calibri"/>
                <w:color w:val="000000"/>
                <w:lang w:val="fr-FR"/>
              </w:rPr>
              <w:t xml:space="preserve"> ayant pour origine les premiers habitants connus d'une région, par opposition aux groupes qui se sont installés, ont occupé ou colonisé la région plus récemment dans l'histoire de l'humanité</w:t>
            </w:r>
          </w:p>
        </w:tc>
        <w:tc>
          <w:tcPr>
            <w:tcW w:w="1666" w:type="pct"/>
          </w:tcPr>
          <w:p w14:paraId="25AD2558" w14:textId="77777777" w:rsidR="00AA4320" w:rsidRPr="00D15745" w:rsidRDefault="007350F8"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fr-FR"/>
              </w:rPr>
              <w:t>Ces termes peuvent être utiles pour décrire les peuples indigènes dans un contexte mondial.</w:t>
            </w:r>
          </w:p>
        </w:tc>
      </w:tr>
    </w:tbl>
    <w:p w14:paraId="54097694" w14:textId="77777777" w:rsidR="00AA4320" w:rsidRPr="00D15745" w:rsidRDefault="00AA4320" w:rsidP="00417223">
      <w:pPr>
        <w:spacing w:after="0" w:line="276" w:lineRule="auto"/>
        <w:rPr>
          <w:rFonts w:cstheme="minorHAnsi"/>
          <w:lang w:val="fr-FR"/>
        </w:rPr>
      </w:pPr>
    </w:p>
    <w:p w14:paraId="0A16F3FF" w14:textId="77777777" w:rsidR="00AA4320" w:rsidRPr="00D15745" w:rsidRDefault="007350F8" w:rsidP="00417223">
      <w:pPr>
        <w:pStyle w:val="Default"/>
        <w:spacing w:after="120" w:line="276" w:lineRule="auto"/>
        <w:rPr>
          <w:rFonts w:asciiTheme="minorHAnsi" w:hAnsiTheme="minorHAnsi" w:cstheme="minorHAnsi"/>
          <w:b/>
          <w:color w:val="2E74B5"/>
          <w:sz w:val="28"/>
          <w:szCs w:val="28"/>
          <w:lang w:val="fr-FR"/>
        </w:rPr>
      </w:pPr>
      <w:r>
        <w:rPr>
          <w:rFonts w:ascii="Calibri" w:eastAsia="Calibri" w:hAnsi="Calibri" w:cs="Calibri"/>
          <w:b/>
          <w:bCs/>
          <w:color w:val="2E74B5"/>
          <w:sz w:val="28"/>
          <w:szCs w:val="28"/>
          <w:lang w:val="fr-FR"/>
        </w:rPr>
        <w:t>Langage axé sur la personne et langage axé sur l’identité</w:t>
      </w:r>
    </w:p>
    <w:p w14:paraId="2D9B2427"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 xml:space="preserve">Les personnes en situation de handicap ne constituent pas un groupe homogène. Les membres de cette communauté ont des points de vue divers sur la question de savoir si le langage axé sur la personne (personne en situation de handicap) ou sur l'identité (personne handicapée) est approprié dans la plupart des contextes. En règle générale, la plupart des personnes préfèrent un langage axé sur la personne qui met l'accent sur l'humanité, souligne l'autonomie et promeut l'idée que la plupart des handicaps ne sont qu'un aspect de la vie et de l’identité des individus. Cela est particulièrement vrai </w:t>
      </w:r>
      <w:r>
        <w:rPr>
          <w:rFonts w:ascii="Calibri" w:eastAsia="Calibri" w:hAnsi="Calibri" w:cs="Calibri"/>
          <w:sz w:val="22"/>
          <w:szCs w:val="22"/>
          <w:lang w:val="fr-FR"/>
        </w:rPr>
        <w:lastRenderedPageBreak/>
        <w:t>pour les personnes atteintes d'une maladie chronique acquise (c'est-à-dire les personnes diabétiques au lieu des diabétiques).</w:t>
      </w:r>
    </w:p>
    <w:p w14:paraId="33C6AD95" w14:textId="77777777" w:rsidR="00AA4320" w:rsidRPr="00D15745" w:rsidRDefault="007350F8" w:rsidP="00417223">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fr-FR"/>
        </w:rPr>
        <w:t>Cependant, certaines personnes handicapées expliquent que leur handicap est une partie intrinsèque de leur identité et ne doit pas être précédé du terme « personne ». Par exemple, de nombreuses personnes autistes préfèrent le langage axé sur l’identité parce qu'elles considèrent l'autisme comme une façon de penser et de vivre plutôt que comme un trouble. C'est ce que l'on appelle parfois le « modèle social » du handicap, par opposition au « modèle médical ». Ce concept fait également partie des revendications des personnes handicapées. Dans le cas de la surdité, par exemple, celle-ci est associée à un système éducatif, une langue et une sous-culture uniques qui font que la plupart des personnes de cette population préfèrent être appelées « sourds ».</w:t>
      </w:r>
    </w:p>
    <w:p w14:paraId="67FDF68E" w14:textId="77777777" w:rsidR="00AA4320" w:rsidRPr="00D15745" w:rsidRDefault="007350F8" w:rsidP="00417223">
      <w:pPr>
        <w:spacing w:after="120" w:line="276" w:lineRule="auto"/>
        <w:rPr>
          <w:rFonts w:cstheme="minorHAnsi"/>
          <w:lang w:val="fr-FR"/>
        </w:rPr>
      </w:pPr>
      <w:r>
        <w:rPr>
          <w:rFonts w:ascii="Calibri" w:eastAsia="Calibri" w:hAnsi="Calibri" w:cs="Calibri"/>
          <w:lang w:val="fr-FR"/>
        </w:rPr>
        <w:t>En règle générale, si vous écrivez ou parlez de personnes en situation de handicap ou présentant des problèmes de santé qui vous sont inconnus, recherchez les termes préconisés pour cette population et basez-vous sur les ressources rassemblées par les personnes immédiatement concernées.</w:t>
      </w:r>
    </w:p>
    <w:sectPr w:rsidR="00AA4320" w:rsidRPr="00D15745" w:rsidSect="002229B4">
      <w:headerReference w:type="default" r:id="rId4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FE21" w16cex:dateUtc="2020-05-12T08:51:00Z"/>
  <w16cex:commentExtensible w16cex:durableId="2264FAAD" w16cex:dateUtc="2020-05-12T08:36:00Z"/>
  <w16cex:commentExtensible w16cex:durableId="2264FDFF" w16cex:dateUtc="2020-05-12T08:50:00Z"/>
  <w16cex:commentExtensible w16cex:durableId="2264FE5E" w16cex:dateUtc="2020-05-12T08:52:00Z"/>
  <w16cex:commentExtensible w16cex:durableId="2264FEC7" w16cex:dateUtc="2020-05-12T08:53:00Z"/>
  <w16cex:commentExtensible w16cex:durableId="2264FE71" w16cex:dateUtc="2020-05-12T08:52:00Z"/>
  <w16cex:commentExtensible w16cex:durableId="2264FE8B" w16cex:dateUtc="2020-05-12T08:52:00Z"/>
  <w16cex:commentExtensible w16cex:durableId="226502DF" w16cex:dateUtc="2020-05-12T09:11:00Z"/>
  <w16cex:commentExtensible w16cex:durableId="22650C99" w16cex:dateUtc="2020-05-12T09:52:00Z"/>
  <w16cex:commentExtensible w16cex:durableId="22650C7E" w16cex:dateUtc="2020-05-12T09:52:00Z"/>
  <w16cex:commentExtensible w16cex:durableId="22651E7B" w16cex:dateUtc="2020-05-12T1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F134" w14:textId="77777777" w:rsidR="00BC4C0F" w:rsidRDefault="00BC4C0F">
      <w:pPr>
        <w:spacing w:after="0" w:line="240" w:lineRule="auto"/>
      </w:pPr>
      <w:r>
        <w:separator/>
      </w:r>
    </w:p>
  </w:endnote>
  <w:endnote w:type="continuationSeparator" w:id="0">
    <w:p w14:paraId="1F247802" w14:textId="77777777" w:rsidR="00BC4C0F" w:rsidRDefault="00BC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altName w:val="Arial"/>
    <w:charset w:val="00"/>
    <w:family w:val="auto"/>
    <w:pitch w:val="variable"/>
    <w:sig w:usb0="E0000AFF" w:usb1="5000217F" w:usb2="0000002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5C1C" w14:textId="6296D329" w:rsidR="00BC4C0F" w:rsidRPr="00781189" w:rsidRDefault="00BC4C0F" w:rsidP="0078118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Pr>
        <w:noProof/>
        <w:sz w:val="20"/>
        <w:szCs w:val="20"/>
      </w:rPr>
      <w:t>19</w:t>
    </w:r>
    <w:r w:rsidRPr="0078118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6D14" w14:textId="19C300B8" w:rsidR="00BC4C0F" w:rsidRPr="00781189" w:rsidRDefault="00BC4C0F" w:rsidP="00341E3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Pr>
        <w:noProof/>
        <w:sz w:val="20"/>
        <w:szCs w:val="20"/>
      </w:rPr>
      <w:t>2</w:t>
    </w:r>
    <w:r w:rsidRPr="0078118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4EEA" w14:textId="77777777" w:rsidR="00BC4C0F" w:rsidRPr="00F50A2F" w:rsidRDefault="00BC4C0F" w:rsidP="00F5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A5BE" w14:textId="77777777" w:rsidR="00BC4C0F" w:rsidRDefault="00BC4C0F">
      <w:pPr>
        <w:spacing w:after="0" w:line="240" w:lineRule="auto"/>
      </w:pPr>
      <w:r>
        <w:separator/>
      </w:r>
    </w:p>
  </w:footnote>
  <w:footnote w:type="continuationSeparator" w:id="0">
    <w:p w14:paraId="5FCB9F03" w14:textId="77777777" w:rsidR="00BC4C0F" w:rsidRDefault="00BC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FA6F" w14:textId="170255E7" w:rsidR="00BC4C0F" w:rsidRPr="003711C6" w:rsidRDefault="00BC4C0F" w:rsidP="00781189">
    <w:pPr>
      <w:pStyle w:val="Default"/>
      <w:rPr>
        <w:rFonts w:ascii="Calibri" w:hAnsi="Calibri" w:cs="Calibri"/>
        <w:sz w:val="20"/>
        <w:szCs w:val="20"/>
        <w:lang w:val="fr-FR"/>
      </w:rPr>
    </w:pPr>
    <w:r>
      <w:rPr>
        <w:rFonts w:ascii="Calibri" w:eastAsia="Calibri" w:hAnsi="Calibri" w:cs="Calibri"/>
        <w:sz w:val="20"/>
        <w:szCs w:val="20"/>
        <w:lang w:val="fr-FR"/>
      </w:rPr>
      <w:t>Guide linguistique du NIAID sur le VIH</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35E2" w14:textId="4D45AF7C" w:rsidR="00BC4C0F" w:rsidRPr="00D15745" w:rsidRDefault="00BC4C0F" w:rsidP="00F50A2F">
    <w:pPr>
      <w:pStyle w:val="Default"/>
      <w:tabs>
        <w:tab w:val="right" w:pos="9360"/>
      </w:tabs>
      <w:rPr>
        <w:rFonts w:asciiTheme="minorHAnsi" w:hAnsiTheme="minorHAnsi" w:cstheme="minorHAnsi"/>
        <w:b/>
        <w:bCs/>
        <w:sz w:val="20"/>
        <w:szCs w:val="20"/>
        <w:lang w:val="fr-FR"/>
      </w:rPr>
    </w:pPr>
    <w:r>
      <w:rPr>
        <w:rFonts w:ascii="Calibri" w:eastAsia="Calibri" w:hAnsi="Calibri" w:cs="Calibri"/>
        <w:sz w:val="20"/>
        <w:szCs w:val="20"/>
        <w:lang w:val="fr-FR"/>
      </w:rPr>
      <w:t>Guide linguistique du NIAID sur le VIH</w:t>
    </w:r>
    <w:r>
      <w:rPr>
        <w:rFonts w:ascii="Calibri" w:eastAsia="Calibri" w:hAnsi="Calibri" w:cs="Calibri"/>
        <w:sz w:val="20"/>
        <w:szCs w:val="20"/>
        <w:lang w:val="fr-FR"/>
      </w:rPr>
      <w:tab/>
      <w:t>Sexe, genre et sexualité</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D9C7" w14:textId="5BA3BE6C" w:rsidR="00BC4C0F" w:rsidRPr="00D15745" w:rsidRDefault="00BC4C0F" w:rsidP="00F50A2F">
    <w:pPr>
      <w:pStyle w:val="Default"/>
      <w:tabs>
        <w:tab w:val="right" w:pos="9360"/>
      </w:tabs>
      <w:rPr>
        <w:rFonts w:asciiTheme="minorHAnsi" w:hAnsiTheme="minorHAnsi" w:cstheme="minorHAnsi"/>
        <w:b/>
        <w:bCs/>
        <w:sz w:val="20"/>
        <w:szCs w:val="20"/>
        <w:lang w:val="fr-FR"/>
      </w:rPr>
    </w:pPr>
    <w:r>
      <w:rPr>
        <w:rFonts w:ascii="Calibri" w:eastAsia="Calibri" w:hAnsi="Calibri" w:cs="Calibri"/>
        <w:sz w:val="20"/>
        <w:szCs w:val="20"/>
        <w:lang w:val="fr-FR"/>
      </w:rPr>
      <w:t>Guide linguistique du NIAID sur le VIH</w:t>
    </w:r>
    <w:r>
      <w:rPr>
        <w:rFonts w:ascii="Calibri" w:eastAsia="Calibri" w:hAnsi="Calibri" w:cs="Calibri"/>
        <w:sz w:val="20"/>
        <w:szCs w:val="20"/>
        <w:lang w:val="fr-FR"/>
      </w:rPr>
      <w:tab/>
      <w:t>Consommation de substances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1193" w14:textId="35E77677" w:rsidR="00BC4C0F" w:rsidRPr="00D15745" w:rsidRDefault="00BC4C0F" w:rsidP="00F50A2F">
    <w:pPr>
      <w:pStyle w:val="Default"/>
      <w:tabs>
        <w:tab w:val="right" w:pos="9360"/>
      </w:tabs>
      <w:rPr>
        <w:rFonts w:asciiTheme="minorHAnsi" w:hAnsiTheme="minorHAnsi" w:cstheme="minorHAnsi"/>
        <w:b/>
        <w:bCs/>
        <w:sz w:val="20"/>
        <w:szCs w:val="20"/>
        <w:lang w:val="fr-FR"/>
      </w:rPr>
    </w:pPr>
    <w:r>
      <w:rPr>
        <w:rFonts w:ascii="Calibri" w:eastAsia="Calibri" w:hAnsi="Calibri" w:cs="Calibri"/>
        <w:sz w:val="20"/>
        <w:szCs w:val="20"/>
        <w:lang w:val="fr-FR"/>
      </w:rPr>
      <w:t>Guide linguistique du NIAID sur le VIH</w:t>
    </w:r>
    <w:r>
      <w:rPr>
        <w:rFonts w:ascii="Calibri" w:eastAsia="Calibri" w:hAnsi="Calibri" w:cs="Calibri"/>
        <w:sz w:val="20"/>
        <w:szCs w:val="20"/>
        <w:lang w:val="fr-FR"/>
      </w:rPr>
      <w:tab/>
      <w:t>Termes et sujets divers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5405" w14:textId="067A045E" w:rsidR="00BC4C0F" w:rsidRPr="00D15745" w:rsidRDefault="00BC4C0F" w:rsidP="00781189">
    <w:pPr>
      <w:pStyle w:val="Default"/>
      <w:tabs>
        <w:tab w:val="right" w:pos="9360"/>
      </w:tabs>
      <w:rPr>
        <w:rFonts w:asciiTheme="minorHAnsi" w:hAnsiTheme="minorHAnsi" w:cstheme="minorHAnsi"/>
        <w:b/>
        <w:bCs/>
        <w:sz w:val="20"/>
        <w:szCs w:val="20"/>
        <w:lang w:val="fr-FR"/>
      </w:rPr>
    </w:pPr>
    <w:r>
      <w:rPr>
        <w:rFonts w:ascii="Calibri" w:eastAsia="Calibri" w:hAnsi="Calibri" w:cs="Calibri"/>
        <w:sz w:val="20"/>
        <w:szCs w:val="20"/>
        <w:lang w:val="fr-FR"/>
      </w:rPr>
      <w:t>Guide linguistique du NIAID sur le VIH</w:t>
    </w:r>
    <w:r>
      <w:rPr>
        <w:rFonts w:ascii="Calibri" w:eastAsia="Calibri" w:hAnsi="Calibri" w:cs="Calibri"/>
        <w:sz w:val="20"/>
        <w:szCs w:val="20"/>
        <w:lang w:val="fr-FR"/>
      </w:rPr>
      <w:tab/>
    </w:r>
    <w:r>
      <w:rPr>
        <w:rFonts w:ascii="Calibri" w:eastAsia="Calibri" w:hAnsi="Calibri" w:cs="Calibri"/>
        <w:b/>
        <w:bCs/>
        <w:sz w:val="20"/>
        <w:szCs w:val="20"/>
        <w:lang w:val="fr-FR"/>
      </w:rPr>
      <w:t>À propos de ce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9B87" w14:textId="71794BBD" w:rsidR="00BC4C0F" w:rsidRPr="00D15745" w:rsidRDefault="00BC4C0F" w:rsidP="00781189">
    <w:pPr>
      <w:pStyle w:val="Default"/>
      <w:tabs>
        <w:tab w:val="right" w:pos="9360"/>
      </w:tabs>
      <w:rPr>
        <w:rFonts w:asciiTheme="minorHAnsi" w:hAnsiTheme="minorHAnsi" w:cstheme="minorHAnsi"/>
        <w:b/>
        <w:bCs/>
        <w:sz w:val="20"/>
        <w:szCs w:val="20"/>
        <w:lang w:val="fr-FR"/>
      </w:rPr>
    </w:pPr>
    <w:r>
      <w:rPr>
        <w:rFonts w:ascii="Calibri" w:eastAsia="Calibri" w:hAnsi="Calibri" w:cs="Calibri"/>
        <w:sz w:val="20"/>
        <w:szCs w:val="20"/>
        <w:lang w:val="fr-FR"/>
      </w:rPr>
      <w:t xml:space="preserve">Guide linguistique de </w:t>
    </w:r>
    <w:r w:rsidRPr="001B356B">
      <w:rPr>
        <w:rFonts w:ascii="Calibri" w:eastAsia="Calibri" w:hAnsi="Calibri" w:cs="Calibri"/>
        <w:sz w:val="20"/>
        <w:szCs w:val="20"/>
        <w:lang w:val="fr-FR"/>
      </w:rPr>
      <w:t>l’</w:t>
    </w:r>
    <w:r w:rsidRPr="002A0FBA">
      <w:rPr>
        <w:rFonts w:ascii="Calibri" w:eastAsia="Calibri" w:hAnsi="Calibri" w:cs="Calibri"/>
        <w:sz w:val="20"/>
        <w:szCs w:val="20"/>
        <w:lang w:val="fr-FR"/>
      </w:rPr>
      <w:t>Institut national des allergies et des maladies infectieuses</w:t>
    </w:r>
    <w:r w:rsidRPr="001B356B">
      <w:rPr>
        <w:rFonts w:ascii="Calibri" w:eastAsia="Calibri" w:hAnsi="Calibri" w:cs="Calibri"/>
        <w:sz w:val="20"/>
        <w:szCs w:val="20"/>
        <w:lang w:val="fr-FR"/>
      </w:rPr>
      <w:t xml:space="preserve"> (</w:t>
    </w:r>
    <w:r w:rsidRPr="002A0FBA">
      <w:rPr>
        <w:rFonts w:ascii="Calibri" w:eastAsia="Calibri" w:hAnsi="Calibri" w:cs="Calibri"/>
        <w:sz w:val="20"/>
        <w:szCs w:val="20"/>
        <w:lang w:val="fr-FR"/>
      </w:rPr>
      <w:t xml:space="preserve">National Institute of </w:t>
    </w:r>
    <w:proofErr w:type="spellStart"/>
    <w:r w:rsidRPr="002A0FBA">
      <w:rPr>
        <w:rFonts w:ascii="Calibri" w:eastAsia="Calibri" w:hAnsi="Calibri" w:cs="Calibri"/>
        <w:sz w:val="20"/>
        <w:szCs w:val="20"/>
        <w:lang w:val="fr-FR"/>
      </w:rPr>
      <w:t>Allergy</w:t>
    </w:r>
    <w:proofErr w:type="spellEnd"/>
    <w:r w:rsidRPr="002A0FBA">
      <w:rPr>
        <w:rFonts w:ascii="Calibri" w:eastAsia="Calibri" w:hAnsi="Calibri" w:cs="Calibri"/>
        <w:sz w:val="20"/>
        <w:szCs w:val="20"/>
        <w:lang w:val="fr-FR"/>
      </w:rPr>
      <w:t xml:space="preserve"> and </w:t>
    </w:r>
    <w:proofErr w:type="spellStart"/>
    <w:r w:rsidRPr="002A0FBA">
      <w:rPr>
        <w:rFonts w:ascii="Calibri" w:eastAsia="Calibri" w:hAnsi="Calibri" w:cs="Calibri"/>
        <w:sz w:val="20"/>
        <w:szCs w:val="20"/>
        <w:lang w:val="fr-FR"/>
      </w:rPr>
      <w:t>Infectious</w:t>
    </w:r>
    <w:proofErr w:type="spellEnd"/>
    <w:r w:rsidRPr="002A0FBA">
      <w:rPr>
        <w:rFonts w:ascii="Calibri" w:eastAsia="Calibri" w:hAnsi="Calibri" w:cs="Calibri"/>
        <w:sz w:val="20"/>
        <w:szCs w:val="20"/>
        <w:lang w:val="fr-FR"/>
      </w:rPr>
      <w:t xml:space="preserve"> </w:t>
    </w:r>
    <w:proofErr w:type="spellStart"/>
    <w:r w:rsidRPr="002A0FBA">
      <w:rPr>
        <w:rFonts w:ascii="Calibri" w:eastAsia="Calibri" w:hAnsi="Calibri" w:cs="Calibri"/>
        <w:sz w:val="20"/>
        <w:szCs w:val="20"/>
        <w:lang w:val="fr-FR"/>
      </w:rPr>
      <w:t>Diseases</w:t>
    </w:r>
    <w:proofErr w:type="spellEnd"/>
    <w:r w:rsidRPr="002A0FBA">
      <w:rPr>
        <w:rFonts w:ascii="Calibri" w:eastAsia="Calibri" w:hAnsi="Calibri" w:cs="Calibri"/>
        <w:sz w:val="20"/>
        <w:szCs w:val="20"/>
        <w:lang w:val="fr-FR"/>
      </w:rPr>
      <w:t>, NIAID</w:t>
    </w:r>
    <w:r w:rsidRPr="001B356B">
      <w:rPr>
        <w:rFonts w:ascii="Calibri" w:eastAsia="Calibri" w:hAnsi="Calibri" w:cs="Calibri"/>
        <w:sz w:val="20"/>
        <w:szCs w:val="20"/>
        <w:lang w:val="fr-FR"/>
      </w:rPr>
      <w:t>)</w:t>
    </w:r>
    <w:r>
      <w:rPr>
        <w:rFonts w:ascii="Calibri" w:eastAsia="Calibri" w:hAnsi="Calibri" w:cs="Calibri"/>
        <w:sz w:val="20"/>
        <w:szCs w:val="20"/>
        <w:lang w:val="fr-FR"/>
      </w:rPr>
      <w:t xml:space="preserve"> sur le VIH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9776" w14:textId="747FD679" w:rsidR="00BC4C0F" w:rsidRPr="00D15745" w:rsidRDefault="00BC4C0F" w:rsidP="00341E39">
    <w:pPr>
      <w:pStyle w:val="Default"/>
      <w:tabs>
        <w:tab w:val="right" w:pos="9360"/>
      </w:tabs>
      <w:rPr>
        <w:rFonts w:asciiTheme="minorHAnsi" w:hAnsiTheme="minorHAnsi" w:cstheme="minorHAnsi"/>
        <w:b/>
        <w:bCs/>
        <w:sz w:val="20"/>
        <w:szCs w:val="20"/>
        <w:lang w:val="fr-FR"/>
      </w:rPr>
    </w:pPr>
    <w:r>
      <w:rPr>
        <w:rFonts w:ascii="Calibri" w:eastAsia="Calibri" w:hAnsi="Calibri" w:cs="Calibri"/>
        <w:sz w:val="20"/>
        <w:szCs w:val="20"/>
        <w:lang w:val="fr-FR"/>
      </w:rPr>
      <w:t>Guide linguistique du NIAID sur le VIH</w:t>
    </w:r>
    <w:r>
      <w:rPr>
        <w:rFonts w:ascii="Calibri" w:eastAsia="Calibri" w:hAnsi="Calibri" w:cs="Calibri"/>
        <w:sz w:val="20"/>
        <w:szCs w:val="20"/>
        <w:lang w:val="fr-FR"/>
      </w:rPr>
      <w:tab/>
      <w:t>Méthodologie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4ED5" w14:textId="540E71EF" w:rsidR="00BC4C0F" w:rsidRPr="00D15745" w:rsidRDefault="00BC4C0F" w:rsidP="00F50A2F">
    <w:pPr>
      <w:pStyle w:val="Default"/>
      <w:tabs>
        <w:tab w:val="right" w:pos="9360"/>
      </w:tabs>
      <w:rPr>
        <w:rFonts w:asciiTheme="minorHAnsi" w:hAnsiTheme="minorHAnsi" w:cstheme="minorHAnsi"/>
        <w:b/>
        <w:bCs/>
        <w:sz w:val="20"/>
        <w:szCs w:val="20"/>
        <w:lang w:val="fr-FR"/>
      </w:rPr>
    </w:pPr>
    <w:r>
      <w:rPr>
        <w:rFonts w:ascii="Calibri" w:eastAsia="Calibri" w:hAnsi="Calibri" w:cs="Calibri"/>
        <w:sz w:val="20"/>
        <w:szCs w:val="20"/>
        <w:lang w:val="fr-FR"/>
      </w:rPr>
      <w:t>Guide linguistique du NIAID sur le VIH</w:t>
    </w:r>
    <w:r>
      <w:rPr>
        <w:rFonts w:ascii="Calibri" w:eastAsia="Calibri" w:hAnsi="Calibri" w:cs="Calibri"/>
        <w:sz w:val="20"/>
        <w:szCs w:val="20"/>
        <w:lang w:val="fr-FR"/>
      </w:rPr>
      <w:tab/>
      <w:t>Considérations générales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C703" w14:textId="77777777" w:rsidR="00BC4C0F" w:rsidRPr="00F50A2F" w:rsidRDefault="00BC4C0F" w:rsidP="00F50A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924E" w14:textId="16F2260F" w:rsidR="00BC4C0F" w:rsidRPr="00D15745" w:rsidRDefault="00BC4C0F" w:rsidP="00F50A2F">
    <w:pPr>
      <w:pStyle w:val="Default"/>
      <w:tabs>
        <w:tab w:val="right" w:pos="9360"/>
      </w:tabs>
      <w:rPr>
        <w:rFonts w:asciiTheme="minorHAnsi" w:hAnsiTheme="minorHAnsi" w:cstheme="minorHAnsi"/>
        <w:b/>
        <w:bCs/>
        <w:sz w:val="20"/>
        <w:szCs w:val="20"/>
        <w:lang w:val="fr-FR"/>
      </w:rPr>
    </w:pPr>
    <w:r>
      <w:rPr>
        <w:rFonts w:ascii="Calibri" w:eastAsia="Calibri" w:hAnsi="Calibri" w:cs="Calibri"/>
        <w:sz w:val="20"/>
        <w:szCs w:val="20"/>
        <w:lang w:val="fr-FR"/>
      </w:rPr>
      <w:t>Guide linguistique du NIAID sur le VIH</w:t>
    </w:r>
    <w:r>
      <w:rPr>
        <w:rFonts w:ascii="Calibri" w:eastAsia="Calibri" w:hAnsi="Calibri" w:cs="Calibri"/>
        <w:sz w:val="20"/>
        <w:szCs w:val="20"/>
        <w:lang w:val="fr-FR"/>
      </w:rPr>
      <w:tab/>
      <w:t>5 conseils pratiques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8C31" w14:textId="77777777" w:rsidR="00BC4C0F" w:rsidRPr="00F50A2F" w:rsidRDefault="00BC4C0F" w:rsidP="00F50A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E31B" w14:textId="02452D85" w:rsidR="00BC4C0F" w:rsidRPr="00D15745" w:rsidRDefault="00BC4C0F" w:rsidP="00F50A2F">
    <w:pPr>
      <w:pStyle w:val="Default"/>
      <w:tabs>
        <w:tab w:val="right" w:pos="9360"/>
      </w:tabs>
      <w:rPr>
        <w:rFonts w:asciiTheme="minorHAnsi" w:hAnsiTheme="minorHAnsi" w:cstheme="minorHAnsi"/>
        <w:b/>
        <w:bCs/>
        <w:sz w:val="20"/>
        <w:szCs w:val="20"/>
        <w:lang w:val="fr-FR"/>
      </w:rPr>
    </w:pPr>
    <w:r>
      <w:rPr>
        <w:rFonts w:ascii="Calibri" w:eastAsia="Calibri" w:hAnsi="Calibri" w:cs="Calibri"/>
        <w:sz w:val="20"/>
        <w:szCs w:val="20"/>
        <w:lang w:val="fr-FR"/>
      </w:rPr>
      <w:t>Guide linguistique du NIAID sur le VIH</w:t>
    </w:r>
    <w:r>
      <w:rPr>
        <w:rFonts w:ascii="Calibri" w:eastAsia="Calibri" w:hAnsi="Calibri" w:cs="Calibri"/>
        <w:sz w:val="20"/>
        <w:szCs w:val="20"/>
        <w:lang w:val="fr-FR"/>
      </w:rPr>
      <w:tab/>
      <w:t>Terminologie de base sur le VIH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7435"/>
    <w:multiLevelType w:val="hybridMultilevel"/>
    <w:tmpl w:val="B1AE09DC"/>
    <w:lvl w:ilvl="0" w:tplc="85B625FC">
      <w:start w:val="1"/>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B7C11EC"/>
    <w:multiLevelType w:val="hybridMultilevel"/>
    <w:tmpl w:val="0010D5E2"/>
    <w:lvl w:ilvl="0" w:tplc="B4FCC098">
      <w:numFmt w:val="bullet"/>
      <w:lvlText w:val="–"/>
      <w:lvlJc w:val="left"/>
      <w:pPr>
        <w:ind w:left="720" w:hanging="360"/>
      </w:pPr>
      <w:rPr>
        <w:rFonts w:ascii="Calibri" w:eastAsia="Calibri" w:hAnsi="Calibri" w:cs="Calibri" w:hint="default"/>
        <w:color w:va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B47EA9"/>
    <w:multiLevelType w:val="hybridMultilevel"/>
    <w:tmpl w:val="4E068AB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90"/>
    <w:rsid w:val="00000293"/>
    <w:rsid w:val="000075AA"/>
    <w:rsid w:val="0001172F"/>
    <w:rsid w:val="00040797"/>
    <w:rsid w:val="000A3DBB"/>
    <w:rsid w:val="000B256F"/>
    <w:rsid w:val="000C10C3"/>
    <w:rsid w:val="000C4E9B"/>
    <w:rsid w:val="000D4D44"/>
    <w:rsid w:val="00103238"/>
    <w:rsid w:val="001037EF"/>
    <w:rsid w:val="00111F85"/>
    <w:rsid w:val="00142722"/>
    <w:rsid w:val="0014296F"/>
    <w:rsid w:val="00157D44"/>
    <w:rsid w:val="001623F3"/>
    <w:rsid w:val="001707B7"/>
    <w:rsid w:val="001A7932"/>
    <w:rsid w:val="001B1014"/>
    <w:rsid w:val="001B356B"/>
    <w:rsid w:val="001C7A6A"/>
    <w:rsid w:val="001D0B24"/>
    <w:rsid w:val="001E74D1"/>
    <w:rsid w:val="002229B4"/>
    <w:rsid w:val="00232D53"/>
    <w:rsid w:val="002822F0"/>
    <w:rsid w:val="00283DA1"/>
    <w:rsid w:val="00293789"/>
    <w:rsid w:val="002939E4"/>
    <w:rsid w:val="002A2502"/>
    <w:rsid w:val="002E52DD"/>
    <w:rsid w:val="002F2C07"/>
    <w:rsid w:val="00322524"/>
    <w:rsid w:val="00330501"/>
    <w:rsid w:val="00333CB8"/>
    <w:rsid w:val="00334B18"/>
    <w:rsid w:val="00341E39"/>
    <w:rsid w:val="00346DA3"/>
    <w:rsid w:val="003711C6"/>
    <w:rsid w:val="00371DEE"/>
    <w:rsid w:val="003805C5"/>
    <w:rsid w:val="00382C58"/>
    <w:rsid w:val="00385ACA"/>
    <w:rsid w:val="003906B3"/>
    <w:rsid w:val="003A4737"/>
    <w:rsid w:val="003B2638"/>
    <w:rsid w:val="003B7A60"/>
    <w:rsid w:val="00417223"/>
    <w:rsid w:val="00420719"/>
    <w:rsid w:val="00454882"/>
    <w:rsid w:val="00470081"/>
    <w:rsid w:val="00485A2B"/>
    <w:rsid w:val="00494FDB"/>
    <w:rsid w:val="0049559E"/>
    <w:rsid w:val="00495F7B"/>
    <w:rsid w:val="004A05C4"/>
    <w:rsid w:val="004C15AA"/>
    <w:rsid w:val="004C1D33"/>
    <w:rsid w:val="004C4C90"/>
    <w:rsid w:val="004D13C9"/>
    <w:rsid w:val="004D4BC7"/>
    <w:rsid w:val="004D6AE6"/>
    <w:rsid w:val="004F72DB"/>
    <w:rsid w:val="005166B4"/>
    <w:rsid w:val="0052356B"/>
    <w:rsid w:val="00563A05"/>
    <w:rsid w:val="00563BD8"/>
    <w:rsid w:val="00570222"/>
    <w:rsid w:val="00572E3F"/>
    <w:rsid w:val="00575FED"/>
    <w:rsid w:val="00581579"/>
    <w:rsid w:val="00583855"/>
    <w:rsid w:val="005B3C76"/>
    <w:rsid w:val="005C1FA1"/>
    <w:rsid w:val="005D0739"/>
    <w:rsid w:val="005F15B0"/>
    <w:rsid w:val="0060016C"/>
    <w:rsid w:val="00630795"/>
    <w:rsid w:val="00641D34"/>
    <w:rsid w:val="00643F6A"/>
    <w:rsid w:val="00651F22"/>
    <w:rsid w:val="00660D16"/>
    <w:rsid w:val="00676705"/>
    <w:rsid w:val="006779B0"/>
    <w:rsid w:val="00680965"/>
    <w:rsid w:val="006A23F0"/>
    <w:rsid w:val="006B1030"/>
    <w:rsid w:val="006B4F00"/>
    <w:rsid w:val="006C56C2"/>
    <w:rsid w:val="006D0CE9"/>
    <w:rsid w:val="006D3FF5"/>
    <w:rsid w:val="006E6A76"/>
    <w:rsid w:val="006F73FB"/>
    <w:rsid w:val="00711AD6"/>
    <w:rsid w:val="00722C41"/>
    <w:rsid w:val="00727EC8"/>
    <w:rsid w:val="007350F8"/>
    <w:rsid w:val="00735495"/>
    <w:rsid w:val="007620C2"/>
    <w:rsid w:val="007636B5"/>
    <w:rsid w:val="00772F17"/>
    <w:rsid w:val="00781189"/>
    <w:rsid w:val="007B0509"/>
    <w:rsid w:val="007B4AC8"/>
    <w:rsid w:val="007E40C8"/>
    <w:rsid w:val="007E6B70"/>
    <w:rsid w:val="007F7192"/>
    <w:rsid w:val="00821716"/>
    <w:rsid w:val="00833F99"/>
    <w:rsid w:val="008451E3"/>
    <w:rsid w:val="00846EF9"/>
    <w:rsid w:val="0087368F"/>
    <w:rsid w:val="0087628F"/>
    <w:rsid w:val="00883219"/>
    <w:rsid w:val="00896FB7"/>
    <w:rsid w:val="008A315F"/>
    <w:rsid w:val="008A4EC5"/>
    <w:rsid w:val="008B2E96"/>
    <w:rsid w:val="008C7690"/>
    <w:rsid w:val="008D60E6"/>
    <w:rsid w:val="009147CC"/>
    <w:rsid w:val="00921BF8"/>
    <w:rsid w:val="00940F3C"/>
    <w:rsid w:val="009451DC"/>
    <w:rsid w:val="0094638C"/>
    <w:rsid w:val="00954574"/>
    <w:rsid w:val="009819BB"/>
    <w:rsid w:val="00984F35"/>
    <w:rsid w:val="00990D98"/>
    <w:rsid w:val="0099791F"/>
    <w:rsid w:val="009A045A"/>
    <w:rsid w:val="009A672D"/>
    <w:rsid w:val="009F1FD5"/>
    <w:rsid w:val="00A11A59"/>
    <w:rsid w:val="00A1794F"/>
    <w:rsid w:val="00A454B0"/>
    <w:rsid w:val="00A465D8"/>
    <w:rsid w:val="00A47D18"/>
    <w:rsid w:val="00A635AE"/>
    <w:rsid w:val="00A804D8"/>
    <w:rsid w:val="00AA0596"/>
    <w:rsid w:val="00AA4320"/>
    <w:rsid w:val="00AB4D1F"/>
    <w:rsid w:val="00AB6607"/>
    <w:rsid w:val="00AC2D55"/>
    <w:rsid w:val="00AC5E60"/>
    <w:rsid w:val="00AD1898"/>
    <w:rsid w:val="00B22C2A"/>
    <w:rsid w:val="00B23CC3"/>
    <w:rsid w:val="00B504DF"/>
    <w:rsid w:val="00B550C5"/>
    <w:rsid w:val="00B76545"/>
    <w:rsid w:val="00B77283"/>
    <w:rsid w:val="00BB5117"/>
    <w:rsid w:val="00BB5F98"/>
    <w:rsid w:val="00BC45DD"/>
    <w:rsid w:val="00BC4C0F"/>
    <w:rsid w:val="00BD33AB"/>
    <w:rsid w:val="00BE1EB8"/>
    <w:rsid w:val="00BF6F22"/>
    <w:rsid w:val="00BF7539"/>
    <w:rsid w:val="00BF7A42"/>
    <w:rsid w:val="00C173A0"/>
    <w:rsid w:val="00C225D2"/>
    <w:rsid w:val="00C32DC1"/>
    <w:rsid w:val="00C64887"/>
    <w:rsid w:val="00C80F0F"/>
    <w:rsid w:val="00C94CCE"/>
    <w:rsid w:val="00CA18D2"/>
    <w:rsid w:val="00CA23F2"/>
    <w:rsid w:val="00CB4A3B"/>
    <w:rsid w:val="00CB7439"/>
    <w:rsid w:val="00CC75CF"/>
    <w:rsid w:val="00CD79BF"/>
    <w:rsid w:val="00CE0CEE"/>
    <w:rsid w:val="00CE2E30"/>
    <w:rsid w:val="00CE4B50"/>
    <w:rsid w:val="00D003B1"/>
    <w:rsid w:val="00D07083"/>
    <w:rsid w:val="00D11046"/>
    <w:rsid w:val="00D150A6"/>
    <w:rsid w:val="00D15745"/>
    <w:rsid w:val="00D328C6"/>
    <w:rsid w:val="00D36D3C"/>
    <w:rsid w:val="00D62D81"/>
    <w:rsid w:val="00D8715B"/>
    <w:rsid w:val="00D967EA"/>
    <w:rsid w:val="00DA1430"/>
    <w:rsid w:val="00DB7AA6"/>
    <w:rsid w:val="00DC35D4"/>
    <w:rsid w:val="00DC6E88"/>
    <w:rsid w:val="00DD01BB"/>
    <w:rsid w:val="00DD01E7"/>
    <w:rsid w:val="00DE0363"/>
    <w:rsid w:val="00DE731F"/>
    <w:rsid w:val="00E214B8"/>
    <w:rsid w:val="00E81653"/>
    <w:rsid w:val="00E84C1C"/>
    <w:rsid w:val="00EB00DE"/>
    <w:rsid w:val="00EB2103"/>
    <w:rsid w:val="00EC67F5"/>
    <w:rsid w:val="00EE0FC3"/>
    <w:rsid w:val="00EE1EE3"/>
    <w:rsid w:val="00EE7278"/>
    <w:rsid w:val="00F113F5"/>
    <w:rsid w:val="00F20901"/>
    <w:rsid w:val="00F50A2F"/>
    <w:rsid w:val="00F55D3E"/>
    <w:rsid w:val="00F70CD0"/>
    <w:rsid w:val="00FA2198"/>
    <w:rsid w:val="00FA7B3D"/>
    <w:rsid w:val="00FE73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358B5"/>
  <w15:chartTrackingRefBased/>
  <w15:docId w15:val="{9881B5DE-1CB0-4F94-84AE-20CC4B5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821716"/>
    <w:pPr>
      <w:spacing w:after="120"/>
      <w:jc w:val="center"/>
      <w:outlineLvl w:val="0"/>
    </w:pPr>
    <w:rPr>
      <w:rFonts w:asciiTheme="minorHAnsi" w:hAnsiTheme="minorHAnsi" w:cstheme="minorHAnsi"/>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320"/>
    <w:pPr>
      <w:autoSpaceDE w:val="0"/>
      <w:autoSpaceDN w:val="0"/>
      <w:adjustRightInd w:val="0"/>
      <w:spacing w:after="0" w:line="240" w:lineRule="auto"/>
    </w:pPr>
    <w:rPr>
      <w:rFonts w:ascii="Roboto Medium" w:hAnsi="Roboto Medium" w:cs="Roboto Medium"/>
      <w:color w:val="000000"/>
      <w:sz w:val="24"/>
      <w:szCs w:val="24"/>
    </w:rPr>
  </w:style>
  <w:style w:type="paragraph" w:styleId="Header">
    <w:name w:val="header"/>
    <w:basedOn w:val="Normal"/>
    <w:link w:val="HeaderChar"/>
    <w:uiPriority w:val="99"/>
    <w:unhideWhenUsed/>
    <w:rsid w:val="00BC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5DD"/>
  </w:style>
  <w:style w:type="paragraph" w:styleId="Footer">
    <w:name w:val="footer"/>
    <w:basedOn w:val="Normal"/>
    <w:link w:val="FooterChar"/>
    <w:uiPriority w:val="99"/>
    <w:unhideWhenUsed/>
    <w:rsid w:val="00BC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5DD"/>
  </w:style>
  <w:style w:type="table" w:styleId="TableGrid">
    <w:name w:val="Table Grid"/>
    <w:basedOn w:val="TableNormal"/>
    <w:uiPriority w:val="39"/>
    <w:rsid w:val="0078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FD5"/>
    <w:rPr>
      <w:color w:val="0563C1" w:themeColor="hyperlink"/>
      <w:u w:val="single"/>
    </w:rPr>
  </w:style>
  <w:style w:type="character" w:customStyle="1" w:styleId="Mentionnonrsolue1">
    <w:name w:val="Mention non résolue1"/>
    <w:basedOn w:val="DefaultParagraphFont"/>
    <w:uiPriority w:val="99"/>
    <w:semiHidden/>
    <w:unhideWhenUsed/>
    <w:rsid w:val="009F1FD5"/>
    <w:rPr>
      <w:color w:val="605E5C"/>
      <w:shd w:val="clear" w:color="auto" w:fill="E1DFDD"/>
    </w:rPr>
  </w:style>
  <w:style w:type="character" w:styleId="CommentReference">
    <w:name w:val="annotation reference"/>
    <w:basedOn w:val="DefaultParagraphFont"/>
    <w:uiPriority w:val="99"/>
    <w:semiHidden/>
    <w:unhideWhenUsed/>
    <w:rsid w:val="00AB6607"/>
    <w:rPr>
      <w:sz w:val="16"/>
      <w:szCs w:val="16"/>
    </w:rPr>
  </w:style>
  <w:style w:type="paragraph" w:styleId="CommentText">
    <w:name w:val="annotation text"/>
    <w:basedOn w:val="Normal"/>
    <w:link w:val="CommentTextChar"/>
    <w:uiPriority w:val="99"/>
    <w:unhideWhenUsed/>
    <w:rsid w:val="00AB6607"/>
    <w:pPr>
      <w:spacing w:line="240" w:lineRule="auto"/>
    </w:pPr>
    <w:rPr>
      <w:sz w:val="20"/>
      <w:szCs w:val="20"/>
    </w:rPr>
  </w:style>
  <w:style w:type="character" w:customStyle="1" w:styleId="CommentTextChar">
    <w:name w:val="Comment Text Char"/>
    <w:basedOn w:val="DefaultParagraphFont"/>
    <w:link w:val="CommentText"/>
    <w:uiPriority w:val="99"/>
    <w:rsid w:val="00AB6607"/>
    <w:rPr>
      <w:sz w:val="20"/>
      <w:szCs w:val="20"/>
    </w:rPr>
  </w:style>
  <w:style w:type="paragraph" w:styleId="CommentSubject">
    <w:name w:val="annotation subject"/>
    <w:basedOn w:val="CommentText"/>
    <w:next w:val="CommentText"/>
    <w:link w:val="CommentSubjectChar"/>
    <w:uiPriority w:val="99"/>
    <w:semiHidden/>
    <w:unhideWhenUsed/>
    <w:rsid w:val="00AB6607"/>
    <w:rPr>
      <w:b/>
      <w:bCs/>
    </w:rPr>
  </w:style>
  <w:style w:type="character" w:customStyle="1" w:styleId="CommentSubjectChar">
    <w:name w:val="Comment Subject Char"/>
    <w:basedOn w:val="CommentTextChar"/>
    <w:link w:val="CommentSubject"/>
    <w:uiPriority w:val="99"/>
    <w:semiHidden/>
    <w:rsid w:val="00AB6607"/>
    <w:rPr>
      <w:b/>
      <w:bCs/>
      <w:sz w:val="20"/>
      <w:szCs w:val="20"/>
    </w:rPr>
  </w:style>
  <w:style w:type="paragraph" w:styleId="BalloonText">
    <w:name w:val="Balloon Text"/>
    <w:basedOn w:val="Normal"/>
    <w:link w:val="BalloonTextChar"/>
    <w:uiPriority w:val="99"/>
    <w:semiHidden/>
    <w:unhideWhenUsed/>
    <w:rsid w:val="00AB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07"/>
    <w:rPr>
      <w:rFonts w:ascii="Segoe UI" w:hAnsi="Segoe UI" w:cs="Segoe UI"/>
      <w:sz w:val="18"/>
      <w:szCs w:val="18"/>
    </w:rPr>
  </w:style>
  <w:style w:type="character" w:customStyle="1" w:styleId="Heading1Char">
    <w:name w:val="Heading 1 Char"/>
    <w:basedOn w:val="DefaultParagraphFont"/>
    <w:link w:val="Heading1"/>
    <w:uiPriority w:val="9"/>
    <w:rsid w:val="00821716"/>
    <w:rPr>
      <w:rFonts w:cstheme="minorHAnsi"/>
      <w:b/>
      <w:color w:val="2E74B5"/>
      <w:sz w:val="32"/>
      <w:szCs w:val="32"/>
    </w:rPr>
  </w:style>
  <w:style w:type="paragraph" w:styleId="NoSpacing">
    <w:name w:val="No Spacing"/>
    <w:uiPriority w:val="1"/>
    <w:qFormat/>
    <w:rsid w:val="00821716"/>
    <w:pPr>
      <w:spacing w:after="0" w:line="240" w:lineRule="auto"/>
    </w:pPr>
  </w:style>
  <w:style w:type="paragraph" w:styleId="TOC1">
    <w:name w:val="toc 1"/>
    <w:basedOn w:val="Normal"/>
    <w:next w:val="Normal"/>
    <w:autoRedefine/>
    <w:uiPriority w:val="39"/>
    <w:unhideWhenUsed/>
    <w:rsid w:val="00722C41"/>
    <w:pPr>
      <w:tabs>
        <w:tab w:val="right" w:leader="dot" w:pos="9350"/>
      </w:tabs>
      <w:spacing w:after="100"/>
      <w:ind w:left="360"/>
    </w:pPr>
  </w:style>
  <w:style w:type="paragraph" w:styleId="Revision">
    <w:name w:val="Revision"/>
    <w:hidden/>
    <w:uiPriority w:val="99"/>
    <w:semiHidden/>
    <w:rsid w:val="003805C5"/>
    <w:pPr>
      <w:spacing w:after="0" w:line="240" w:lineRule="auto"/>
    </w:pPr>
  </w:style>
  <w:style w:type="character" w:styleId="UnresolvedMention">
    <w:name w:val="Unresolved Mention"/>
    <w:basedOn w:val="DefaultParagraphFont"/>
    <w:uiPriority w:val="99"/>
    <w:semiHidden/>
    <w:unhideWhenUsed/>
    <w:rsid w:val="0034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93738">
      <w:bodyDiv w:val="1"/>
      <w:marLeft w:val="0"/>
      <w:marRight w:val="0"/>
      <w:marTop w:val="0"/>
      <w:marBottom w:val="0"/>
      <w:divBdr>
        <w:top w:val="none" w:sz="0" w:space="0" w:color="auto"/>
        <w:left w:val="none" w:sz="0" w:space="0" w:color="auto"/>
        <w:bottom w:val="none" w:sz="0" w:space="0" w:color="auto"/>
        <w:right w:val="none" w:sz="0" w:space="0" w:color="auto"/>
      </w:divBdr>
    </w:div>
    <w:div w:id="377707866">
      <w:bodyDiv w:val="1"/>
      <w:marLeft w:val="0"/>
      <w:marRight w:val="0"/>
      <w:marTop w:val="0"/>
      <w:marBottom w:val="0"/>
      <w:divBdr>
        <w:top w:val="none" w:sz="0" w:space="0" w:color="auto"/>
        <w:left w:val="none" w:sz="0" w:space="0" w:color="auto"/>
        <w:bottom w:val="none" w:sz="0" w:space="0" w:color="auto"/>
        <w:right w:val="none" w:sz="0" w:space="0" w:color="auto"/>
      </w:divBdr>
    </w:div>
    <w:div w:id="614944638">
      <w:bodyDiv w:val="1"/>
      <w:marLeft w:val="0"/>
      <w:marRight w:val="0"/>
      <w:marTop w:val="0"/>
      <w:marBottom w:val="0"/>
      <w:divBdr>
        <w:top w:val="none" w:sz="0" w:space="0" w:color="auto"/>
        <w:left w:val="none" w:sz="0" w:space="0" w:color="auto"/>
        <w:bottom w:val="none" w:sz="0" w:space="0" w:color="auto"/>
        <w:right w:val="none" w:sz="0" w:space="0" w:color="auto"/>
      </w:divBdr>
    </w:div>
    <w:div w:id="9056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ctgnetwork.org/underrepresented-populations/" TargetMode="External"/><Relationship Id="rId26" Type="http://schemas.openxmlformats.org/officeDocument/2006/relationships/hyperlink" Target="https://www.hanc.info/legacy/Documents/Guidance%20for%20Transgender%20Inclusive%20Research%20FINAL%2011-19-2019.pdf"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hanc.info/Pages/default.aspx" TargetMode="External"/><Relationship Id="rId34" Type="http://schemas.openxmlformats.org/officeDocument/2006/relationships/header" Target="header5.xml"/><Relationship Id="rId42" Type="http://schemas.openxmlformats.org/officeDocument/2006/relationships/hyperlink" Target="https://www.census.gov/topics/population/race/about.html" TargetMode="External"/><Relationship Id="rId47" Type="http://schemas.openxmlformats.org/officeDocument/2006/relationships/header" Target="header12.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ctgnetwork.org/underrepresented-populations/" TargetMode="External"/><Relationship Id="rId25" Type="http://schemas.openxmlformats.org/officeDocument/2006/relationships/hyperlink" Target="https://hiveonline.org/language-matters/" TargetMode="External"/><Relationship Id="rId33" Type="http://schemas.openxmlformats.org/officeDocument/2006/relationships/hyperlink" Target="mailto:NIAIDNews@niaid.nih.gov" TargetMode="External"/><Relationship Id="rId38" Type="http://schemas.openxmlformats.org/officeDocument/2006/relationships/header" Target="header8.xml"/><Relationship Id="rId46" Type="http://schemas.openxmlformats.org/officeDocument/2006/relationships/hyperlink" Target="https://www.census.gov/topics/population/race/about.html" TargetMode="External"/><Relationship Id="rId2" Type="http://schemas.openxmlformats.org/officeDocument/2006/relationships/numbering" Target="numbering.xml"/><Relationship Id="rId16" Type="http://schemas.openxmlformats.org/officeDocument/2006/relationships/hyperlink" Target="https://www.treatmentactiongroup.org/wp-content/uploads/2011/09/crag_tbtc_brief_cover_569x724.jpg" TargetMode="External"/><Relationship Id="rId20" Type="http://schemas.openxmlformats.org/officeDocument/2006/relationships/hyperlink" Target="https://www.hanc.info/legacy/Pages/workingGroups.aspx" TargetMode="External"/><Relationship Id="rId29" Type="http://schemas.openxmlformats.org/officeDocument/2006/relationships/hyperlink" Target="https://www.samhsa.gov/sites/default/files/programs_campaigns/02._webcast_1_resources-508.pdf"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thewellproject.org/hiv-information/why-language-matters-facing-hiv-stigma-our-own-words" TargetMode="External"/><Relationship Id="rId32" Type="http://schemas.openxmlformats.org/officeDocument/2006/relationships/footer" Target="footer2.xm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yperlink" Target="https://www.census.gov/topics/population/race/about.html" TargetMode="External"/><Relationship Id="rId5" Type="http://schemas.openxmlformats.org/officeDocument/2006/relationships/webSettings" Target="webSettings.xml"/><Relationship Id="rId15" Type="http://schemas.openxmlformats.org/officeDocument/2006/relationships/hyperlink" Target="https://www.niaid.nih.gov/research/community-partners" TargetMode="External"/><Relationship Id="rId23" Type="http://schemas.openxmlformats.org/officeDocument/2006/relationships/hyperlink" Target="https://www.thewellproject.org/team-member/vickie-lynn" TargetMode="External"/><Relationship Id="rId28" Type="http://schemas.openxmlformats.org/officeDocument/2006/relationships/hyperlink" Target="https://www.whitehouse.gov/sites/whitehouse.gov/files/images/Memo%20-%20Changing%20Federal%20Terminology%20Regrading%20Substance%20Use%20and%20Substance%20Use%20Disorders.pdf"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hanc.info/legacy/Pages/default.aspx" TargetMode="External"/><Relationship Id="rId31" Type="http://schemas.openxmlformats.org/officeDocument/2006/relationships/header" Target="header4.xml"/><Relationship Id="rId44" Type="http://schemas.openxmlformats.org/officeDocument/2006/relationships/hyperlink" Target="https://www.census.gov/topics/population/race/abou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aid.nih.gov/research/hivaids-clinical-trials-networks" TargetMode="External"/><Relationship Id="rId22" Type="http://schemas.openxmlformats.org/officeDocument/2006/relationships/hyperlink" Target="https://www.cdc.gov/stophivtogether/campaigns/hiv-stigma/stop-hiv-stigma/index.html" TargetMode="External"/><Relationship Id="rId27" Type="http://schemas.openxmlformats.org/officeDocument/2006/relationships/hyperlink" Target="https://orwh.od.nih.gov/sites/orwh/files/docs/ORWH_Strategic_Plan_2019_02_21_19_V2_508C.pdf" TargetMode="External"/><Relationship Id="rId30" Type="http://schemas.openxmlformats.org/officeDocument/2006/relationships/header" Target="header3.xml"/><Relationship Id="rId35" Type="http://schemas.openxmlformats.org/officeDocument/2006/relationships/header" Target="header6.xml"/><Relationship Id="rId43" Type="http://schemas.openxmlformats.org/officeDocument/2006/relationships/hyperlink" Target="https://www.census.gov/topics/population/race/about.htm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C949-C513-4E8C-8405-429C7369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8354</Words>
  <Characters>47623</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US0686701</vt:lpstr>
      <vt:lpstr>US0686701</vt:lpstr>
    </vt:vector>
  </TitlesOfParts>
  <Company/>
  <LinksUpToDate>false</LinksUpToDate>
  <CharactersWithSpaces>55866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US0686701</dc:title>
  <dc:creator>Stefanie Faith</dc:creator>
  <cp:lastModifiedBy>Siskind, Rona (NIH/NIAID) [E]</cp:lastModifiedBy>
  <cp:revision>3</cp:revision>
  <dcterms:created xsi:type="dcterms:W3CDTF">2020-07-15T18:27:00Z</dcterms:created>
  <dcterms:modified xsi:type="dcterms:W3CDTF">2020-07-27T14:55:00Z</dcterms:modified>
</cp:coreProperties>
</file>