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74E4" w14:textId="7B91951C" w:rsidR="00D05E60" w:rsidRPr="00F72B6E" w:rsidRDefault="00D05E60" w:rsidP="00EB4986">
      <w:pPr>
        <w:tabs>
          <w:tab w:val="left" w:pos="7020"/>
        </w:tabs>
        <w:jc w:val="center"/>
        <w:rPr>
          <w:rFonts w:asciiTheme="majorHAnsi" w:hAnsiTheme="majorHAnsi" w:cstheme="majorHAnsi"/>
        </w:rPr>
      </w:pPr>
      <w:r w:rsidRPr="00F72B6E">
        <w:rPr>
          <w:rFonts w:asciiTheme="majorHAnsi" w:hAnsiTheme="majorHAnsi" w:cstheme="majorHAnsi"/>
        </w:rPr>
        <w:t>Division of AIDS Cross-Network Transgender Working Group</w:t>
      </w:r>
    </w:p>
    <w:p w14:paraId="11F6EC0B" w14:textId="4BE834BD" w:rsidR="0029401F" w:rsidRPr="00F72B6E" w:rsidRDefault="003B03AA" w:rsidP="003B03AA">
      <w:pPr>
        <w:jc w:val="center"/>
        <w:rPr>
          <w:rFonts w:asciiTheme="majorHAnsi" w:hAnsiTheme="majorHAnsi" w:cstheme="majorHAnsi"/>
          <w:b/>
        </w:rPr>
      </w:pPr>
      <w:r w:rsidRPr="00F72B6E">
        <w:rPr>
          <w:rFonts w:asciiTheme="majorHAnsi" w:hAnsiTheme="majorHAnsi" w:cstheme="majorHAnsi"/>
          <w:b/>
        </w:rPr>
        <w:t>Guidance on</w:t>
      </w:r>
      <w:r w:rsidR="0029401F" w:rsidRPr="00F72B6E">
        <w:rPr>
          <w:rFonts w:asciiTheme="majorHAnsi" w:hAnsiTheme="majorHAnsi" w:cstheme="majorHAnsi"/>
          <w:b/>
        </w:rPr>
        <w:t xml:space="preserve"> </w:t>
      </w:r>
      <w:r w:rsidR="00E11C7C" w:rsidRPr="00F72B6E">
        <w:rPr>
          <w:rFonts w:asciiTheme="majorHAnsi" w:hAnsiTheme="majorHAnsi" w:cstheme="majorHAnsi"/>
          <w:b/>
        </w:rPr>
        <w:t xml:space="preserve">the Use of </w:t>
      </w:r>
      <w:r w:rsidR="0029401F" w:rsidRPr="00F72B6E">
        <w:rPr>
          <w:rFonts w:asciiTheme="majorHAnsi" w:hAnsiTheme="majorHAnsi" w:cstheme="majorHAnsi"/>
          <w:b/>
        </w:rPr>
        <w:t>Gender-Inclusive</w:t>
      </w:r>
      <w:r w:rsidR="00DB5D2A" w:rsidRPr="00F72B6E">
        <w:rPr>
          <w:rFonts w:asciiTheme="majorHAnsi" w:hAnsiTheme="majorHAnsi" w:cstheme="majorHAnsi"/>
          <w:b/>
        </w:rPr>
        <w:t xml:space="preserve"> HIV</w:t>
      </w:r>
      <w:r w:rsidR="0029401F" w:rsidRPr="00F72B6E">
        <w:rPr>
          <w:rFonts w:asciiTheme="majorHAnsi" w:hAnsiTheme="majorHAnsi" w:cstheme="majorHAnsi"/>
          <w:b/>
        </w:rPr>
        <w:t xml:space="preserve"> Research</w:t>
      </w:r>
      <w:r w:rsidR="00E11C7C" w:rsidRPr="00F72B6E">
        <w:rPr>
          <w:rFonts w:asciiTheme="majorHAnsi" w:hAnsiTheme="majorHAnsi" w:cstheme="majorHAnsi"/>
          <w:b/>
        </w:rPr>
        <w:t xml:space="preserve"> </w:t>
      </w:r>
      <w:r w:rsidR="00F26218" w:rsidRPr="00F72B6E">
        <w:rPr>
          <w:rFonts w:asciiTheme="majorHAnsi" w:hAnsiTheme="majorHAnsi" w:cstheme="majorHAnsi"/>
          <w:b/>
        </w:rPr>
        <w:t>Practices</w:t>
      </w:r>
      <w:r w:rsidR="00001939">
        <w:rPr>
          <w:rFonts w:asciiTheme="majorHAnsi" w:hAnsiTheme="majorHAnsi" w:cstheme="majorHAnsi"/>
          <w:b/>
        </w:rPr>
        <w:t>:</w:t>
      </w:r>
      <w:r w:rsidR="00F26218" w:rsidRPr="00F72B6E">
        <w:rPr>
          <w:rFonts w:asciiTheme="majorHAnsi" w:hAnsiTheme="majorHAnsi" w:cstheme="majorHAnsi"/>
          <w:b/>
        </w:rPr>
        <w:t xml:space="preserve"> </w:t>
      </w:r>
    </w:p>
    <w:p w14:paraId="48CA22F5" w14:textId="13762BBB" w:rsidR="003B03AA" w:rsidRDefault="0029401F" w:rsidP="003B03AA">
      <w:pPr>
        <w:jc w:val="center"/>
        <w:rPr>
          <w:rFonts w:asciiTheme="majorHAnsi" w:hAnsiTheme="majorHAnsi" w:cstheme="majorHAnsi"/>
          <w:b/>
        </w:rPr>
      </w:pPr>
      <w:r w:rsidRPr="00F72B6E">
        <w:rPr>
          <w:rFonts w:asciiTheme="majorHAnsi" w:hAnsiTheme="majorHAnsi" w:cstheme="majorHAnsi"/>
          <w:b/>
        </w:rPr>
        <w:t xml:space="preserve">Protocol Design, Data Collection, </w:t>
      </w:r>
      <w:r w:rsidR="003B03AA" w:rsidRPr="00F72B6E">
        <w:rPr>
          <w:rFonts w:asciiTheme="majorHAnsi" w:hAnsiTheme="majorHAnsi" w:cstheme="majorHAnsi"/>
          <w:b/>
        </w:rPr>
        <w:t>and D</w:t>
      </w:r>
      <w:r w:rsidRPr="00F72B6E">
        <w:rPr>
          <w:rFonts w:asciiTheme="majorHAnsi" w:hAnsiTheme="majorHAnsi" w:cstheme="majorHAnsi"/>
          <w:b/>
        </w:rPr>
        <w:t>ata Reporting</w:t>
      </w:r>
    </w:p>
    <w:p w14:paraId="0DABFD5B" w14:textId="3ADF55FA" w:rsidR="003B03AA" w:rsidRDefault="004656EC" w:rsidP="0045049B">
      <w:pPr>
        <w:jc w:val="center"/>
        <w:rPr>
          <w:rFonts w:asciiTheme="majorHAnsi" w:hAnsiTheme="majorHAnsi" w:cstheme="majorHAnsi"/>
        </w:rPr>
      </w:pPr>
      <w:r>
        <w:rPr>
          <w:rFonts w:asciiTheme="majorHAnsi" w:hAnsiTheme="majorHAnsi" w:cstheme="majorHAnsi"/>
        </w:rPr>
        <w:t>March</w:t>
      </w:r>
      <w:bookmarkStart w:id="0" w:name="_GoBack"/>
      <w:bookmarkEnd w:id="0"/>
      <w:r w:rsidR="008A16D3">
        <w:rPr>
          <w:rFonts w:asciiTheme="majorHAnsi" w:hAnsiTheme="majorHAnsi" w:cstheme="majorHAnsi"/>
        </w:rPr>
        <w:t xml:space="preserve"> 2020</w:t>
      </w:r>
    </w:p>
    <w:p w14:paraId="6F1CA461" w14:textId="77777777" w:rsidR="0045049B" w:rsidRPr="0045049B" w:rsidRDefault="0045049B" w:rsidP="0045049B">
      <w:pPr>
        <w:jc w:val="center"/>
        <w:rPr>
          <w:rFonts w:asciiTheme="majorHAnsi" w:hAnsiTheme="majorHAnsi" w:cstheme="majorHAnsi"/>
        </w:rPr>
      </w:pPr>
    </w:p>
    <w:p w14:paraId="476EC2E9" w14:textId="192C2DDD" w:rsidR="00764114" w:rsidRDefault="00764114" w:rsidP="00764114">
      <w:r>
        <w:rPr>
          <w:b/>
          <w:u w:val="single"/>
        </w:rPr>
        <w:t xml:space="preserve">Background and </w:t>
      </w:r>
      <w:r w:rsidR="003B03AA" w:rsidRPr="00764114">
        <w:rPr>
          <w:b/>
          <w:u w:val="single"/>
        </w:rPr>
        <w:t>Purpose</w:t>
      </w:r>
      <w:r w:rsidR="003B03AA">
        <w:t xml:space="preserve"> </w:t>
      </w:r>
    </w:p>
    <w:p w14:paraId="4E83FB1A" w14:textId="02189780" w:rsidR="00562838" w:rsidRDefault="00764114" w:rsidP="00764114">
      <w:r>
        <w:t xml:space="preserve">The </w:t>
      </w:r>
      <w:r w:rsidR="000D2107">
        <w:t>Division of AIDS (</w:t>
      </w:r>
      <w:r w:rsidR="00F21056">
        <w:t>DAIDS</w:t>
      </w:r>
      <w:r w:rsidR="000D2107">
        <w:t xml:space="preserve">) </w:t>
      </w:r>
      <w:r>
        <w:t xml:space="preserve">Cross-Network Transgender Working Group </w:t>
      </w:r>
      <w:r w:rsidR="00DE054F">
        <w:t xml:space="preserve">(CNTWG) </w:t>
      </w:r>
      <w:r w:rsidR="007E6680">
        <w:t>was</w:t>
      </w:r>
      <w:r w:rsidR="00562838">
        <w:t xml:space="preserve"> </w:t>
      </w:r>
      <w:r w:rsidR="007E6680">
        <w:t>established i</w:t>
      </w:r>
      <w:r w:rsidR="002E642F">
        <w:t>n December 2</w:t>
      </w:r>
      <w:r w:rsidR="007E6680" w:rsidRPr="002E642F">
        <w:t>014</w:t>
      </w:r>
      <w:r w:rsidR="007E6680">
        <w:t xml:space="preserve"> </w:t>
      </w:r>
      <w:r w:rsidR="002D5469">
        <w:t>to</w:t>
      </w:r>
      <w:r w:rsidR="002D5469" w:rsidRPr="00F92588">
        <w:rPr>
          <w:rFonts w:ascii="Calibri" w:eastAsia="+mn-ea" w:hAnsi="Calibri" w:cs="+mn-cs"/>
          <w:color w:val="000000"/>
          <w:kern w:val="24"/>
        </w:rPr>
        <w:t xml:space="preserve"> foster coordination, collaboration</w:t>
      </w:r>
      <w:r w:rsidR="00C275F4">
        <w:rPr>
          <w:rFonts w:ascii="Calibri" w:eastAsia="+mn-ea" w:hAnsi="Calibri" w:cs="+mn-cs"/>
          <w:color w:val="000000"/>
          <w:kern w:val="24"/>
        </w:rPr>
        <w:t>,</w:t>
      </w:r>
      <w:r w:rsidR="002D5469" w:rsidRPr="00F92588">
        <w:rPr>
          <w:rFonts w:ascii="Calibri" w:eastAsia="+mn-ea" w:hAnsi="Calibri" w:cs="+mn-cs"/>
          <w:color w:val="000000"/>
          <w:kern w:val="24"/>
        </w:rPr>
        <w:t xml:space="preserve"> and an exchange of information related to transgender issues across </w:t>
      </w:r>
      <w:r w:rsidR="002D5469" w:rsidRPr="006048B8">
        <w:rPr>
          <w:rFonts w:ascii="Calibri" w:eastAsia="+mn-ea" w:hAnsi="Calibri" w:cs="+mn-cs"/>
          <w:color w:val="000000"/>
          <w:kern w:val="24"/>
        </w:rPr>
        <w:t xml:space="preserve">the </w:t>
      </w:r>
      <w:r w:rsidR="00035B72" w:rsidRPr="006048B8">
        <w:t>NIH-funded</w:t>
      </w:r>
      <w:r w:rsidR="00035B72">
        <w:t xml:space="preserve"> HIV/AIDS clinical trials </w:t>
      </w:r>
      <w:r w:rsidR="002D5469" w:rsidRPr="00F92588">
        <w:rPr>
          <w:rFonts w:ascii="Calibri" w:eastAsia="+mn-ea" w:hAnsi="Calibri" w:cs="+mn-cs"/>
          <w:color w:val="000000"/>
          <w:kern w:val="24"/>
        </w:rPr>
        <w:t>networks</w:t>
      </w:r>
      <w:r w:rsidR="002D5469">
        <w:rPr>
          <w:rFonts w:ascii="Calibri" w:eastAsia="+mn-ea" w:hAnsi="Calibri" w:cs="+mn-cs"/>
          <w:color w:val="000000"/>
          <w:kern w:val="24"/>
        </w:rPr>
        <w:t>.</w:t>
      </w:r>
      <w:r w:rsidR="002D5469" w:rsidRPr="00F92588">
        <w:rPr>
          <w:rFonts w:ascii="Calibri" w:eastAsia="+mn-ea" w:hAnsi="Calibri" w:cs="+mn-cs"/>
          <w:color w:val="000000"/>
          <w:kern w:val="24"/>
        </w:rPr>
        <w:t xml:space="preserve"> </w:t>
      </w:r>
      <w:r w:rsidR="002D5469">
        <w:rPr>
          <w:rFonts w:ascii="Calibri" w:eastAsia="+mn-ea" w:hAnsi="Calibri" w:cs="+mn-cs"/>
          <w:color w:val="000000"/>
          <w:kern w:val="24"/>
        </w:rPr>
        <w:t>The primary goal</w:t>
      </w:r>
      <w:r w:rsidR="00CE6CD2">
        <w:rPr>
          <w:rFonts w:ascii="Calibri" w:eastAsia="+mn-ea" w:hAnsi="Calibri" w:cs="+mn-cs"/>
          <w:color w:val="000000"/>
          <w:kern w:val="24"/>
        </w:rPr>
        <w:t xml:space="preserve"> of this working group</w:t>
      </w:r>
      <w:r w:rsidR="002D5469">
        <w:rPr>
          <w:rFonts w:ascii="Calibri" w:eastAsia="+mn-ea" w:hAnsi="Calibri" w:cs="+mn-cs"/>
          <w:color w:val="000000"/>
          <w:kern w:val="24"/>
        </w:rPr>
        <w:t xml:space="preserve"> is to create an HIV research environment that promotes transgender </w:t>
      </w:r>
      <w:r w:rsidR="002D5469" w:rsidRPr="00BD468C">
        <w:t>inclusion</w:t>
      </w:r>
      <w:r w:rsidR="00BD468C" w:rsidRPr="00BD468C">
        <w:t>, especially of transgender people in racial and ethnic minority communities given the high burden of HIV in those communities.</w:t>
      </w:r>
      <w:r w:rsidR="00BD468C">
        <w:rPr>
          <w:rFonts w:ascii="Calibri" w:eastAsia="+mn-ea" w:hAnsi="Calibri" w:cs="+mn-cs"/>
          <w:color w:val="000000"/>
          <w:kern w:val="24"/>
        </w:rPr>
        <w:t xml:space="preserve"> </w:t>
      </w:r>
      <w:r w:rsidR="002D5469">
        <w:rPr>
          <w:rFonts w:ascii="Calibri" w:eastAsia="+mn-ea" w:hAnsi="Calibri" w:cs="+mn-cs"/>
          <w:color w:val="000000"/>
          <w:kern w:val="24"/>
        </w:rPr>
        <w:t>Toward that end,</w:t>
      </w:r>
      <w:r w:rsidR="00A74428">
        <w:rPr>
          <w:rFonts w:ascii="Calibri" w:eastAsia="+mn-ea" w:hAnsi="Calibri" w:cs="+mn-cs"/>
          <w:color w:val="000000"/>
          <w:kern w:val="24"/>
        </w:rPr>
        <w:t xml:space="preserve"> in April 2015</w:t>
      </w:r>
      <w:r w:rsidR="00F86E3F">
        <w:rPr>
          <w:rFonts w:ascii="Calibri" w:eastAsia="+mn-ea" w:hAnsi="Calibri" w:cs="+mn-cs"/>
          <w:color w:val="000000"/>
          <w:kern w:val="24"/>
        </w:rPr>
        <w:t>,</w:t>
      </w:r>
      <w:r w:rsidR="002D5469">
        <w:rPr>
          <w:rFonts w:ascii="Calibri" w:eastAsia="+mn-ea" w:hAnsi="Calibri" w:cs="+mn-cs"/>
          <w:color w:val="000000"/>
          <w:kern w:val="24"/>
        </w:rPr>
        <w:t xml:space="preserve"> the </w:t>
      </w:r>
      <w:r w:rsidR="00DE054F">
        <w:rPr>
          <w:rFonts w:ascii="Calibri" w:eastAsia="+mn-ea" w:hAnsi="Calibri" w:cs="+mn-cs"/>
          <w:color w:val="000000"/>
          <w:kern w:val="24"/>
        </w:rPr>
        <w:t>w</w:t>
      </w:r>
      <w:r w:rsidR="002D5469">
        <w:rPr>
          <w:rFonts w:ascii="Calibri" w:eastAsia="+mn-ea" w:hAnsi="Calibri" w:cs="+mn-cs"/>
          <w:color w:val="000000"/>
          <w:kern w:val="24"/>
        </w:rPr>
        <w:t xml:space="preserve">orking </w:t>
      </w:r>
      <w:r w:rsidR="00DE054F">
        <w:rPr>
          <w:rFonts w:ascii="Calibri" w:eastAsia="+mn-ea" w:hAnsi="Calibri" w:cs="+mn-cs"/>
          <w:color w:val="000000"/>
          <w:kern w:val="24"/>
        </w:rPr>
        <w:t>g</w:t>
      </w:r>
      <w:r w:rsidR="002D5469">
        <w:rPr>
          <w:rFonts w:ascii="Calibri" w:eastAsia="+mn-ea" w:hAnsi="Calibri" w:cs="+mn-cs"/>
          <w:color w:val="000000"/>
          <w:kern w:val="24"/>
        </w:rPr>
        <w:t xml:space="preserve">roup </w:t>
      </w:r>
      <w:r w:rsidR="00A74428">
        <w:t xml:space="preserve">recommended </w:t>
      </w:r>
      <w:r>
        <w:t>the</w:t>
      </w:r>
      <w:r w:rsidR="00910052">
        <w:t xml:space="preserve"> consistent use </w:t>
      </w:r>
      <w:r>
        <w:t xml:space="preserve">of the two-step method </w:t>
      </w:r>
      <w:r w:rsidR="007E6680">
        <w:t xml:space="preserve">for collecting data on gender identity and sex assigned at birth </w:t>
      </w:r>
      <w:r>
        <w:t xml:space="preserve">across </w:t>
      </w:r>
      <w:r w:rsidR="0065513D">
        <w:t xml:space="preserve">the </w:t>
      </w:r>
      <w:r w:rsidR="008D128D">
        <w:t>networks and</w:t>
      </w:r>
      <w:r w:rsidR="007E6680">
        <w:t xml:space="preserve"> </w:t>
      </w:r>
      <w:r w:rsidR="00A74428">
        <w:t xml:space="preserve">has </w:t>
      </w:r>
      <w:r w:rsidR="007E6680">
        <w:t xml:space="preserve">developed </w:t>
      </w:r>
      <w:r>
        <w:t xml:space="preserve">a comprehensive transgender training curriculum for network and site staff. </w:t>
      </w:r>
      <w:r w:rsidR="00586D61">
        <w:t>Th</w:t>
      </w:r>
      <w:r w:rsidR="00015117">
        <w:t>e Transgender Training Curriculum for HIV Research</w:t>
      </w:r>
      <w:r w:rsidR="00562838">
        <w:t xml:space="preserve"> developed by the CNTWG includes </w:t>
      </w:r>
      <w:r w:rsidR="000B7480">
        <w:t xml:space="preserve">five </w:t>
      </w:r>
      <w:r w:rsidR="00C84BB9">
        <w:t>t</w:t>
      </w:r>
      <w:r w:rsidR="00035B72">
        <w:t xml:space="preserve">raining </w:t>
      </w:r>
      <w:r w:rsidR="007E6680">
        <w:t>modules</w:t>
      </w:r>
      <w:r w:rsidR="00586D61">
        <w:t xml:space="preserve">, three of which are </w:t>
      </w:r>
      <w:r w:rsidR="007E6680">
        <w:t xml:space="preserve">available as e-learning </w:t>
      </w:r>
      <w:r w:rsidR="00A74428">
        <w:t xml:space="preserve">and in-person training tools </w:t>
      </w:r>
      <w:r w:rsidR="007E6680">
        <w:t xml:space="preserve">on the </w:t>
      </w:r>
      <w:hyperlink r:id="rId11" w:history="1">
        <w:r w:rsidR="007E6680" w:rsidRPr="009E51DD">
          <w:rPr>
            <w:rStyle w:val="Hyperlink"/>
          </w:rPr>
          <w:t>DAIDS Learning Portal</w:t>
        </w:r>
      </w:hyperlink>
      <w:r w:rsidR="00FA362C">
        <w:t xml:space="preserve"> (</w:t>
      </w:r>
      <w:hyperlink r:id="rId12" w:history="1">
        <w:r w:rsidR="00FA362C" w:rsidRPr="00FA362C">
          <w:rPr>
            <w:color w:val="0000FF"/>
            <w:u w:val="single"/>
          </w:rPr>
          <w:t>https://daidslearningportal.niaid.nih.gov/</w:t>
        </w:r>
      </w:hyperlink>
      <w:r w:rsidR="00FA362C">
        <w:t>)</w:t>
      </w:r>
      <w:r w:rsidR="008D128D" w:rsidRPr="008D128D">
        <w:t xml:space="preserve"> </w:t>
      </w:r>
      <w:r w:rsidR="00DE054F" w:rsidRPr="008D128D">
        <w:t>and two of which are forthcoming</w:t>
      </w:r>
      <w:r w:rsidR="00562838" w:rsidRPr="008D128D">
        <w:t>. N</w:t>
      </w:r>
      <w:r w:rsidRPr="008425BF">
        <w:t>u</w:t>
      </w:r>
      <w:r>
        <w:t xml:space="preserve">merous training </w:t>
      </w:r>
      <w:r w:rsidR="00562838">
        <w:t xml:space="preserve">sessions </w:t>
      </w:r>
      <w:r w:rsidR="00DE054F">
        <w:t xml:space="preserve">utilizing the curriculum </w:t>
      </w:r>
      <w:r w:rsidR="00F72B6E">
        <w:t xml:space="preserve">have been </w:t>
      </w:r>
      <w:r>
        <w:t>conducted at network meetings</w:t>
      </w:r>
      <w:r w:rsidR="00DE054F">
        <w:t>.</w:t>
      </w:r>
    </w:p>
    <w:p w14:paraId="35D7B525" w14:textId="77777777" w:rsidR="00910052" w:rsidRDefault="00562838" w:rsidP="00764114">
      <w:r>
        <w:t xml:space="preserve">To supplement the trainings, </w:t>
      </w:r>
      <w:r w:rsidR="000B7480">
        <w:t>the CNTWG</w:t>
      </w:r>
      <w:r w:rsidR="008425BF">
        <w:t xml:space="preserve"> believes</w:t>
      </w:r>
      <w:r w:rsidR="000B7480">
        <w:t xml:space="preserve"> additional </w:t>
      </w:r>
      <w:r w:rsidR="00A74428">
        <w:t>guidance</w:t>
      </w:r>
      <w:r w:rsidR="00586D61">
        <w:t xml:space="preserve"> </w:t>
      </w:r>
      <w:r w:rsidR="000D2107">
        <w:t>w</w:t>
      </w:r>
      <w:r w:rsidR="000B7480">
        <w:t>ould</w:t>
      </w:r>
      <w:r w:rsidR="000D2107">
        <w:t xml:space="preserve"> be valuable in helping</w:t>
      </w:r>
      <w:r>
        <w:t xml:space="preserve"> the</w:t>
      </w:r>
      <w:r w:rsidR="000D2107">
        <w:t xml:space="preserve"> </w:t>
      </w:r>
      <w:r w:rsidR="006048B8">
        <w:t>NIH-funded</w:t>
      </w:r>
      <w:r w:rsidR="00035B72">
        <w:t xml:space="preserve"> HIV</w:t>
      </w:r>
      <w:r w:rsidR="006048B8">
        <w:t xml:space="preserve">/AIDS </w:t>
      </w:r>
      <w:r w:rsidR="000D2107">
        <w:t xml:space="preserve">clinical trials </w:t>
      </w:r>
      <w:r w:rsidR="006048B8">
        <w:t>networks</w:t>
      </w:r>
      <w:r w:rsidR="00586D61">
        <w:t xml:space="preserve"> implement gender-inclusive practices</w:t>
      </w:r>
      <w:r w:rsidR="00A74428">
        <w:t xml:space="preserve">. </w:t>
      </w:r>
    </w:p>
    <w:p w14:paraId="499A84AD" w14:textId="1D613916" w:rsidR="007E6680" w:rsidRDefault="00A74428" w:rsidP="00764114">
      <w:r>
        <w:t>Th</w:t>
      </w:r>
      <w:r w:rsidR="00586D61">
        <w:t xml:space="preserve">is </w:t>
      </w:r>
      <w:r>
        <w:t>guidance document highlight</w:t>
      </w:r>
      <w:r w:rsidR="00586D61">
        <w:t>s a number of different</w:t>
      </w:r>
      <w:r>
        <w:t xml:space="preserve"> </w:t>
      </w:r>
      <w:r w:rsidR="003365DE">
        <w:t xml:space="preserve">practices </w:t>
      </w:r>
      <w:r w:rsidR="00586D61">
        <w:t>t</w:t>
      </w:r>
      <w:r w:rsidR="000D2107">
        <w:t>hat</w:t>
      </w:r>
      <w:r w:rsidR="00562838">
        <w:t xml:space="preserve"> can</w:t>
      </w:r>
      <w:r w:rsidR="00586D61">
        <w:t xml:space="preserve"> facilitate </w:t>
      </w:r>
      <w:r>
        <w:t xml:space="preserve">gender-inclusiveness in </w:t>
      </w:r>
      <w:r w:rsidR="00035B72">
        <w:t xml:space="preserve">study </w:t>
      </w:r>
      <w:r w:rsidR="00F21056">
        <w:t>protocol</w:t>
      </w:r>
      <w:r w:rsidR="003365DE">
        <w:t xml:space="preserve"> design, data collection,</w:t>
      </w:r>
      <w:r w:rsidR="00F21056">
        <w:t xml:space="preserve"> and </w:t>
      </w:r>
      <w:r w:rsidR="003365DE">
        <w:t xml:space="preserve">data </w:t>
      </w:r>
      <w:r w:rsidR="007E6680">
        <w:t>reporting</w:t>
      </w:r>
      <w:r w:rsidR="00586D61">
        <w:t xml:space="preserve"> across the networks</w:t>
      </w:r>
      <w:r>
        <w:t>, and provide</w:t>
      </w:r>
      <w:r w:rsidR="000D2107">
        <w:t>s</w:t>
      </w:r>
      <w:r w:rsidR="00586D61">
        <w:t xml:space="preserve"> </w:t>
      </w:r>
      <w:r w:rsidR="002D5469">
        <w:t>needed</w:t>
      </w:r>
      <w:r w:rsidR="003379B1">
        <w:t xml:space="preserve"> context and direction</w:t>
      </w:r>
      <w:r w:rsidR="00F21056">
        <w:t xml:space="preserve"> to support </w:t>
      </w:r>
      <w:r w:rsidR="002D5469">
        <w:t xml:space="preserve">these efforts. </w:t>
      </w:r>
    </w:p>
    <w:p w14:paraId="269BFA4F" w14:textId="36441BEB" w:rsidR="00764114" w:rsidRDefault="0044409C" w:rsidP="00764114">
      <w:r>
        <w:t>The</w:t>
      </w:r>
      <w:r w:rsidR="007E6680">
        <w:t xml:space="preserve"> purpose of this guidance is to:</w:t>
      </w:r>
    </w:p>
    <w:p w14:paraId="7C4C033A" w14:textId="45368E9C" w:rsidR="0055311B" w:rsidRDefault="00AD2DE2" w:rsidP="0055311B">
      <w:pPr>
        <w:pStyle w:val="ListParagraph"/>
        <w:numPr>
          <w:ilvl w:val="0"/>
          <w:numId w:val="3"/>
        </w:numPr>
        <w:ind w:left="720" w:hanging="270"/>
      </w:pPr>
      <w:r>
        <w:t>Reiterate that all studies should be gender inclusive, allowing for the enrollment of transgender</w:t>
      </w:r>
      <w:r w:rsidR="008D128D">
        <w:rPr>
          <w:rStyle w:val="FootnoteReference"/>
        </w:rPr>
        <w:footnoteReference w:id="1"/>
      </w:r>
      <w:r w:rsidR="008D128D">
        <w:rPr>
          <w:rStyle w:val="EndnoteReference"/>
        </w:rPr>
        <w:t xml:space="preserve"> </w:t>
      </w:r>
      <w:r>
        <w:t>as well as cisgender participants unless there is a scientific reason to limit enrollment</w:t>
      </w:r>
      <w:r w:rsidR="002918D0">
        <w:t>,</w:t>
      </w:r>
      <w:r w:rsidR="006A5EFF">
        <w:t xml:space="preserve"> with the rationale for exclusion provided in relevant study documents. </w:t>
      </w:r>
    </w:p>
    <w:p w14:paraId="630D9BE2" w14:textId="77777777" w:rsidR="0055311B" w:rsidRDefault="00437F33" w:rsidP="0055311B">
      <w:pPr>
        <w:pStyle w:val="ListParagraph"/>
        <w:numPr>
          <w:ilvl w:val="0"/>
          <w:numId w:val="3"/>
        </w:numPr>
        <w:ind w:left="720" w:hanging="270"/>
      </w:pPr>
      <w:r>
        <w:t xml:space="preserve">Reinforce the importance of collecting data on </w:t>
      </w:r>
      <w:r w:rsidR="00B4027C">
        <w:t xml:space="preserve">study participants’ </w:t>
      </w:r>
      <w:r>
        <w:t>gender identity and sex assigned at birth</w:t>
      </w:r>
      <w:r w:rsidR="00B4027C">
        <w:t xml:space="preserve"> using the two-step method</w:t>
      </w:r>
      <w:r w:rsidR="00035B72">
        <w:t>.</w:t>
      </w:r>
      <w:r>
        <w:t xml:space="preserve"> </w:t>
      </w:r>
    </w:p>
    <w:p w14:paraId="339B9CB6" w14:textId="00EF49B7" w:rsidR="0055311B" w:rsidRDefault="00F26218" w:rsidP="0055311B">
      <w:pPr>
        <w:pStyle w:val="ListParagraph"/>
        <w:numPr>
          <w:ilvl w:val="0"/>
          <w:numId w:val="3"/>
        </w:numPr>
        <w:ind w:left="720" w:hanging="270"/>
      </w:pPr>
      <w:r>
        <w:t>Ensure that</w:t>
      </w:r>
      <w:r w:rsidR="00775B4D">
        <w:t xml:space="preserve"> the NIH-funded HIV/AIDS clinical trials networks</w:t>
      </w:r>
      <w:r>
        <w:t xml:space="preserve"> accurately and appropriately describe the study population</w:t>
      </w:r>
      <w:r w:rsidR="001A7205">
        <w:t xml:space="preserve"> in terms of</w:t>
      </w:r>
      <w:r w:rsidR="009F53D8">
        <w:t xml:space="preserve"> gender identity and sex assigned at birth</w:t>
      </w:r>
      <w:r w:rsidR="00775B4D">
        <w:t xml:space="preserve"> in all research protocols</w:t>
      </w:r>
      <w:r w:rsidR="001C5C8A">
        <w:t xml:space="preserve"> in a systematic way.</w:t>
      </w:r>
      <w:r w:rsidR="009F53D8">
        <w:t xml:space="preserve"> </w:t>
      </w:r>
      <w:r w:rsidR="006C2234">
        <w:t xml:space="preserve">This includes the use of </w:t>
      </w:r>
      <w:r w:rsidR="006C2234" w:rsidRPr="0055311B">
        <w:t>non-stigmatizing, gender-inclusive language in research protocols and data reporting.</w:t>
      </w:r>
    </w:p>
    <w:p w14:paraId="0FED76C3" w14:textId="67AE2B28" w:rsidR="0055311B" w:rsidRDefault="001E24F3" w:rsidP="003379B1">
      <w:pPr>
        <w:pStyle w:val="ListParagraph"/>
        <w:numPr>
          <w:ilvl w:val="0"/>
          <w:numId w:val="3"/>
        </w:numPr>
        <w:ind w:left="720" w:hanging="270"/>
      </w:pPr>
      <w:r>
        <w:lastRenderedPageBreak/>
        <w:t>E</w:t>
      </w:r>
      <w:r w:rsidR="009921F8">
        <w:t xml:space="preserve">ncourage the accurate description of </w:t>
      </w:r>
      <w:r w:rsidR="00FD4CDB">
        <w:t xml:space="preserve">the study population in terms of gender identity and sex assigned at birth </w:t>
      </w:r>
      <w:r>
        <w:t xml:space="preserve">when enrollment and other </w:t>
      </w:r>
      <w:r w:rsidR="00586D61">
        <w:t xml:space="preserve">study </w:t>
      </w:r>
      <w:r>
        <w:t xml:space="preserve">data are </w:t>
      </w:r>
      <w:r w:rsidR="00D05E60">
        <w:t xml:space="preserve">published and/or </w:t>
      </w:r>
      <w:r w:rsidR="00615315">
        <w:t>presented.</w:t>
      </w:r>
      <w:r>
        <w:t xml:space="preserve"> </w:t>
      </w:r>
    </w:p>
    <w:p w14:paraId="76A2F121" w14:textId="0541DF8D" w:rsidR="003B03AA" w:rsidRPr="0055311B" w:rsidRDefault="00CE79B7" w:rsidP="0055311B">
      <w:r w:rsidRPr="0055311B">
        <w:rPr>
          <w:b/>
          <w:u w:val="single"/>
        </w:rPr>
        <w:t xml:space="preserve">Rationale </w:t>
      </w:r>
    </w:p>
    <w:p w14:paraId="07270BD4" w14:textId="6A3DAF69" w:rsidR="003379B1" w:rsidRDefault="00104830" w:rsidP="003379B1">
      <w:r>
        <w:t xml:space="preserve">These standard practices are intended to guide protocol teams and network staff in protocol design, data collection, and data reporting. </w:t>
      </w:r>
      <w:r w:rsidR="00780B8C">
        <w:t>T</w:t>
      </w:r>
      <w:r w:rsidR="00F21056">
        <w:t xml:space="preserve">he </w:t>
      </w:r>
      <w:r w:rsidR="00397717">
        <w:t xml:space="preserve">use of accurate </w:t>
      </w:r>
      <w:r w:rsidR="00CE79B7">
        <w:t>language</w:t>
      </w:r>
      <w:r w:rsidR="0029401F">
        <w:t xml:space="preserve"> </w:t>
      </w:r>
      <w:r w:rsidR="003379B1">
        <w:t xml:space="preserve">as it </w:t>
      </w:r>
      <w:r w:rsidR="001E24F3">
        <w:t>relate</w:t>
      </w:r>
      <w:r w:rsidR="003379B1">
        <w:t xml:space="preserve">s </w:t>
      </w:r>
      <w:r w:rsidR="001E24F3">
        <w:t>to gender</w:t>
      </w:r>
      <w:r w:rsidR="003D7FA4">
        <w:t xml:space="preserve"> identity and sex assigned at birth</w:t>
      </w:r>
      <w:r w:rsidR="003379B1">
        <w:t xml:space="preserve"> </w:t>
      </w:r>
      <w:r>
        <w:t>will yield better data</w:t>
      </w:r>
      <w:r w:rsidR="00FA362C">
        <w:t xml:space="preserve">, support the </w:t>
      </w:r>
      <w:r w:rsidR="003D7FA4">
        <w:t xml:space="preserve">generalizability of study </w:t>
      </w:r>
      <w:r w:rsidR="008425BF">
        <w:t>findings</w:t>
      </w:r>
      <w:r w:rsidR="001C5C8A" w:rsidRPr="001C5C8A">
        <w:t xml:space="preserve"> </w:t>
      </w:r>
      <w:r w:rsidR="001C5C8A">
        <w:t>by including a more diverse participant population</w:t>
      </w:r>
      <w:r w:rsidR="00DE054F">
        <w:t>,</w:t>
      </w:r>
      <w:r w:rsidR="008425BF">
        <w:t xml:space="preserve"> </w:t>
      </w:r>
      <w:r w:rsidR="00E8781E">
        <w:t xml:space="preserve">help build rapport between researchers and participants, </w:t>
      </w:r>
      <w:r w:rsidR="008425BF">
        <w:t>and</w:t>
      </w:r>
      <w:r w:rsidR="003D7FA4">
        <w:t xml:space="preserve"> </w:t>
      </w:r>
      <w:r w:rsidR="001E24F3">
        <w:t xml:space="preserve">facilitate </w:t>
      </w:r>
      <w:r w:rsidR="00CE79B7">
        <w:t>transgender outreach/recruitment and retention</w:t>
      </w:r>
      <w:r w:rsidR="003379B1">
        <w:t xml:space="preserve">. </w:t>
      </w:r>
      <w:r w:rsidR="006E0049">
        <w:t xml:space="preserve">Neither transgender individuals nor any potential study participants should be expected to determine their own eligibility for research studies as a result of </w:t>
      </w:r>
      <w:r w:rsidR="00420FA0">
        <w:t xml:space="preserve">imprecise </w:t>
      </w:r>
      <w:r w:rsidR="006E0049">
        <w:t>language related to gender identity and sex assigned at birth.</w:t>
      </w:r>
      <w:r w:rsidR="00397717">
        <w:t xml:space="preserve"> </w:t>
      </w:r>
    </w:p>
    <w:p w14:paraId="454BF4F1" w14:textId="58CECA3A" w:rsidR="00BD468C" w:rsidRDefault="009921F8" w:rsidP="00BD468C">
      <w:pPr>
        <w:rPr>
          <w:rFonts w:ascii="Calibri" w:eastAsia="Calibri" w:hAnsi="Calibri" w:cs="Calibri"/>
          <w:color w:val="FF0000"/>
          <w:sz w:val="24"/>
          <w:szCs w:val="24"/>
        </w:rPr>
      </w:pPr>
      <w:r>
        <w:t>Additionally</w:t>
      </w:r>
      <w:r w:rsidR="00397717">
        <w:t xml:space="preserve">, </w:t>
      </w:r>
      <w:r w:rsidR="009507B0">
        <w:t xml:space="preserve">improving </w:t>
      </w:r>
      <w:r w:rsidR="006E0049">
        <w:t xml:space="preserve">data reporting practices </w:t>
      </w:r>
      <w:r w:rsidR="00214B12">
        <w:t xml:space="preserve">with regard to </w:t>
      </w:r>
      <w:r w:rsidR="003379B1">
        <w:t xml:space="preserve">gender </w:t>
      </w:r>
      <w:r w:rsidR="0043249F">
        <w:t xml:space="preserve">increases the research team’s ability to report </w:t>
      </w:r>
      <w:r w:rsidR="009507B0">
        <w:t xml:space="preserve">results in </w:t>
      </w:r>
      <w:r w:rsidR="006A5EFF">
        <w:t xml:space="preserve">a manner </w:t>
      </w:r>
      <w:r w:rsidR="0043249F">
        <w:t xml:space="preserve">that </w:t>
      </w:r>
      <w:r w:rsidR="006A5EFF">
        <w:t xml:space="preserve">is </w:t>
      </w:r>
      <w:r w:rsidR="003379B1">
        <w:t>scientifically accurate</w:t>
      </w:r>
      <w:r w:rsidR="0043249F">
        <w:t xml:space="preserve"> and relevant</w:t>
      </w:r>
      <w:r w:rsidR="003C276A">
        <w:t xml:space="preserve"> to the communities in which we work</w:t>
      </w:r>
      <w:r w:rsidR="008351E6">
        <w:t xml:space="preserve">. To date, </w:t>
      </w:r>
      <w:r w:rsidR="00586D61" w:rsidRPr="008425BF">
        <w:rPr>
          <w:rFonts w:ascii="Calibri" w:eastAsia="Calibri" w:hAnsi="Calibri" w:cs="Times New Roman"/>
        </w:rPr>
        <w:t xml:space="preserve">data </w:t>
      </w:r>
      <w:r w:rsidR="008351E6" w:rsidRPr="008425BF">
        <w:rPr>
          <w:rFonts w:ascii="Calibri" w:eastAsia="Calibri" w:hAnsi="Calibri" w:cs="Times New Roman"/>
        </w:rPr>
        <w:t xml:space="preserve">on </w:t>
      </w:r>
      <w:r w:rsidR="00586D61" w:rsidRPr="008425BF">
        <w:rPr>
          <w:rFonts w:ascii="Calibri" w:eastAsia="Calibri" w:hAnsi="Calibri" w:cs="Times New Roman"/>
        </w:rPr>
        <w:t xml:space="preserve">transgender populations </w:t>
      </w:r>
      <w:r w:rsidR="002918D0">
        <w:rPr>
          <w:rFonts w:ascii="Calibri" w:eastAsia="Calibri" w:hAnsi="Calibri" w:cs="Times New Roman"/>
        </w:rPr>
        <w:t xml:space="preserve">are </w:t>
      </w:r>
      <w:r w:rsidR="00586D61" w:rsidRPr="008425BF">
        <w:rPr>
          <w:rFonts w:ascii="Calibri" w:eastAsia="Calibri" w:hAnsi="Calibri" w:cs="Times New Roman"/>
        </w:rPr>
        <w:t>limited</w:t>
      </w:r>
      <w:r w:rsidR="008351E6" w:rsidRPr="008425BF">
        <w:rPr>
          <w:rFonts w:ascii="Calibri" w:eastAsia="Calibri" w:hAnsi="Calibri" w:cs="Times New Roman"/>
        </w:rPr>
        <w:t xml:space="preserve"> </w:t>
      </w:r>
      <w:r w:rsidR="00586D61" w:rsidRPr="008425BF">
        <w:rPr>
          <w:rFonts w:ascii="Calibri" w:eastAsia="Calibri" w:hAnsi="Calibri" w:cs="Times New Roman"/>
        </w:rPr>
        <w:t>and often combined with data on cisgender individuals</w:t>
      </w:r>
      <w:r w:rsidR="008351E6" w:rsidRPr="008425BF">
        <w:rPr>
          <w:rFonts w:ascii="Calibri" w:eastAsia="Calibri" w:hAnsi="Calibri" w:cs="Times New Roman"/>
        </w:rPr>
        <w:t>.</w:t>
      </w:r>
      <w:r w:rsidR="000B7480">
        <w:t xml:space="preserve"> </w:t>
      </w:r>
      <w:r w:rsidR="00F72B6E">
        <w:t>I</w:t>
      </w:r>
      <w:r w:rsidR="00F21056">
        <w:t xml:space="preserve">t </w:t>
      </w:r>
      <w:r w:rsidR="000B7480">
        <w:t xml:space="preserve">is not only </w:t>
      </w:r>
      <w:r w:rsidR="00F21056">
        <w:t xml:space="preserve">important that transgender people feel “counted” when they participate in our research studies, </w:t>
      </w:r>
      <w:r w:rsidR="00397717">
        <w:t xml:space="preserve">but </w:t>
      </w:r>
      <w:r w:rsidR="00F21056">
        <w:t>c</w:t>
      </w:r>
      <w:r w:rsidR="003379B1">
        <w:t xml:space="preserve">omprehensive data reporting on </w:t>
      </w:r>
      <w:r w:rsidR="001E24F3">
        <w:t xml:space="preserve">enrollment </w:t>
      </w:r>
      <w:r w:rsidR="000B7480">
        <w:t>is essential</w:t>
      </w:r>
      <w:r w:rsidR="00F72B6E">
        <w:t xml:space="preserve"> to </w:t>
      </w:r>
      <w:r w:rsidR="001E24F3">
        <w:t xml:space="preserve">help identify </w:t>
      </w:r>
      <w:r w:rsidR="00B37060">
        <w:t xml:space="preserve">research </w:t>
      </w:r>
      <w:r w:rsidR="001E24F3">
        <w:t>gaps</w:t>
      </w:r>
      <w:r w:rsidR="00831076">
        <w:t xml:space="preserve">, determine if the results are generalizable to transgender people, </w:t>
      </w:r>
      <w:r w:rsidR="001E24F3">
        <w:t xml:space="preserve">and increase our understanding of why transgender people may or may not be participating in </w:t>
      </w:r>
      <w:r w:rsidR="00061523">
        <w:t xml:space="preserve">biomedical </w:t>
      </w:r>
      <w:r w:rsidR="001E24F3">
        <w:t>HIV research</w:t>
      </w:r>
      <w:r w:rsidR="00061523">
        <w:t xml:space="preserve"> funded by DAIDS</w:t>
      </w:r>
      <w:r w:rsidR="00F21056">
        <w:t xml:space="preserve">. </w:t>
      </w:r>
      <w:r w:rsidR="00BD468C" w:rsidRPr="00BD468C">
        <w:t>This is critical given the disproportionate impact of HIV in transgender communities, particularly communities of color.</w:t>
      </w:r>
      <w:r w:rsidR="00BD468C" w:rsidRPr="00BD468C">
        <w:rPr>
          <w:rFonts w:ascii="Calibri" w:eastAsia="Calibri" w:hAnsi="Calibri" w:cs="Calibri"/>
          <w:color w:val="FF0000"/>
          <w:sz w:val="24"/>
          <w:szCs w:val="24"/>
        </w:rPr>
        <w:t xml:space="preserve"> </w:t>
      </w:r>
    </w:p>
    <w:p w14:paraId="4B97179E" w14:textId="71086E99" w:rsidR="000C0D27" w:rsidRPr="000C0D27" w:rsidRDefault="00120F0E" w:rsidP="000C0D27">
      <w:pPr>
        <w:rPr>
          <w:rFonts w:ascii="Calibri" w:eastAsia="Calibri" w:hAnsi="Calibri" w:cs="Times New Roman"/>
        </w:rPr>
      </w:pPr>
      <w:r w:rsidRPr="000C0D27">
        <w:t xml:space="preserve">Finally, </w:t>
      </w:r>
      <w:r w:rsidR="000C0D27" w:rsidRPr="000C0D27">
        <w:rPr>
          <w:rFonts w:ascii="Calibri" w:eastAsia="Calibri" w:hAnsi="Calibri" w:cs="Times New Roman"/>
        </w:rPr>
        <w:t>capturing</w:t>
      </w:r>
      <w:r w:rsidR="000C0D27" w:rsidRPr="00541A2B">
        <w:rPr>
          <w:rFonts w:ascii="Calibri" w:eastAsia="Calibri" w:hAnsi="Calibri" w:cs="Times New Roman"/>
        </w:rPr>
        <w:t xml:space="preserve"> data on gender and sex assigned at birth, in addition to data on sexual orientation, race and ethnicity, would also facilitate data reporting and potentially analyses that include the intersection of these demographic characteristics. Data yielding intersectional analyses offer more nuanced and potentially more useful information than data that are limited to single-variable analysis. For example, data that reflect participants as whole people (e.g. non-Hispanic Black cisgender heterosexual women) may allow for more real-world interpretations and applications than data analyzing only one participant characteristic at a time (e.g. cisgender women). Participant data should therefore be reported and analyzed with these intersections in mind where possible.  </w:t>
      </w:r>
    </w:p>
    <w:p w14:paraId="0E1F7785" w14:textId="7FB88832" w:rsidR="003379B1" w:rsidRPr="003379B1" w:rsidRDefault="003379B1" w:rsidP="003379B1">
      <w:pPr>
        <w:rPr>
          <w:b/>
          <w:u w:val="single"/>
        </w:rPr>
      </w:pPr>
      <w:r w:rsidRPr="003379B1">
        <w:rPr>
          <w:b/>
          <w:u w:val="single"/>
        </w:rPr>
        <w:t xml:space="preserve">Use of Accurate Language in Protocols </w:t>
      </w:r>
    </w:p>
    <w:p w14:paraId="5C435293" w14:textId="3460A269" w:rsidR="006A5EFF" w:rsidRDefault="008D128D" w:rsidP="00F86E3F">
      <w:pPr>
        <w:pStyle w:val="ListParagraph"/>
        <w:numPr>
          <w:ilvl w:val="0"/>
          <w:numId w:val="14"/>
        </w:numPr>
      </w:pPr>
      <w:r w:rsidRPr="005B4637">
        <w:rPr>
          <w:b/>
          <w:u w:val="single"/>
        </w:rPr>
        <w:t xml:space="preserve">Protocol/Study Title </w:t>
      </w:r>
      <w:r w:rsidR="0064706C" w:rsidRPr="005B4637">
        <w:rPr>
          <w:b/>
        </w:rPr>
        <w:t>–</w:t>
      </w:r>
      <w:r w:rsidR="00A13AE8">
        <w:rPr>
          <w:b/>
        </w:rPr>
        <w:t xml:space="preserve"> </w:t>
      </w:r>
      <w:r w:rsidR="006A5EFF" w:rsidRPr="005B4637">
        <w:rPr>
          <w:b/>
        </w:rPr>
        <w:t xml:space="preserve">If </w:t>
      </w:r>
      <w:r w:rsidR="00CE79B7" w:rsidRPr="005B4637">
        <w:rPr>
          <w:b/>
        </w:rPr>
        <w:t xml:space="preserve">the </w:t>
      </w:r>
      <w:r w:rsidRPr="005B4637">
        <w:rPr>
          <w:b/>
        </w:rPr>
        <w:t>t</w:t>
      </w:r>
      <w:r w:rsidR="00D6057F" w:rsidRPr="005B4637">
        <w:rPr>
          <w:b/>
        </w:rPr>
        <w:t>itle</w:t>
      </w:r>
      <w:r w:rsidR="0029401F" w:rsidRPr="005B4637">
        <w:rPr>
          <w:b/>
        </w:rPr>
        <w:t xml:space="preserve"> </w:t>
      </w:r>
      <w:r w:rsidRPr="005B4637">
        <w:rPr>
          <w:b/>
        </w:rPr>
        <w:t xml:space="preserve">of the protocol or study </w:t>
      </w:r>
      <w:r w:rsidR="000879F0" w:rsidRPr="005B4637">
        <w:rPr>
          <w:b/>
        </w:rPr>
        <w:t xml:space="preserve">identifies </w:t>
      </w:r>
      <w:r w:rsidR="006A5EFF" w:rsidRPr="005B4637">
        <w:rPr>
          <w:b/>
        </w:rPr>
        <w:t xml:space="preserve">a specific </w:t>
      </w:r>
      <w:r w:rsidR="000879F0" w:rsidRPr="005B4637">
        <w:rPr>
          <w:b/>
        </w:rPr>
        <w:t>study population</w:t>
      </w:r>
      <w:r w:rsidR="00B97C73" w:rsidRPr="005B4637">
        <w:rPr>
          <w:b/>
        </w:rPr>
        <w:t>,</w:t>
      </w:r>
      <w:r w:rsidR="000879F0" w:rsidRPr="005B4637">
        <w:rPr>
          <w:b/>
        </w:rPr>
        <w:t xml:space="preserve"> it should</w:t>
      </w:r>
      <w:r w:rsidR="00B97C73" w:rsidRPr="005B4637">
        <w:rPr>
          <w:b/>
        </w:rPr>
        <w:t xml:space="preserve"> describe the study population</w:t>
      </w:r>
      <w:r w:rsidR="007A2DC9" w:rsidRPr="005B4637">
        <w:rPr>
          <w:b/>
        </w:rPr>
        <w:t xml:space="preserve"> using the terms </w:t>
      </w:r>
      <w:r w:rsidR="007A2DC9" w:rsidRPr="005B4637">
        <w:rPr>
          <w:b/>
          <w:i/>
        </w:rPr>
        <w:t>cisgender</w:t>
      </w:r>
      <w:r w:rsidR="007A2DC9" w:rsidRPr="005B4637">
        <w:rPr>
          <w:b/>
        </w:rPr>
        <w:t xml:space="preserve"> and </w:t>
      </w:r>
      <w:r w:rsidR="007A2DC9" w:rsidRPr="005B4637">
        <w:rPr>
          <w:b/>
          <w:i/>
        </w:rPr>
        <w:t>transgender</w:t>
      </w:r>
      <w:r w:rsidR="00B97C73" w:rsidRPr="005B4637">
        <w:rPr>
          <w:b/>
        </w:rPr>
        <w:t xml:space="preserve">. </w:t>
      </w:r>
      <w:r w:rsidR="00B97C73">
        <w:t xml:space="preserve">For example, a </w:t>
      </w:r>
      <w:r w:rsidR="00F86E3F">
        <w:t xml:space="preserve">phase </w:t>
      </w:r>
      <w:r w:rsidR="00B97C73">
        <w:t>2 injectable PrEP study</w:t>
      </w:r>
      <w:r w:rsidR="001C5C8A">
        <w:t xml:space="preserve"> that</w:t>
      </w:r>
      <w:r w:rsidR="00B97C73">
        <w:t xml:space="preserve"> limit</w:t>
      </w:r>
      <w:r w:rsidR="001C5C8A">
        <w:t xml:space="preserve">s enrollment </w:t>
      </w:r>
      <w:r w:rsidR="00B97C73">
        <w:t xml:space="preserve">to participants who were assigned male at birth and identify as men should be titled, “A Phase 2 Study of Injectable PrEP in </w:t>
      </w:r>
      <w:r w:rsidR="00B97C73" w:rsidRPr="00F86E3F">
        <w:rPr>
          <w:b/>
        </w:rPr>
        <w:t>Cisgender</w:t>
      </w:r>
      <w:r w:rsidR="00B97C73">
        <w:t xml:space="preserve"> </w:t>
      </w:r>
      <w:r w:rsidR="00B97C73" w:rsidRPr="00F86E3F">
        <w:rPr>
          <w:b/>
        </w:rPr>
        <w:t>Men</w:t>
      </w:r>
      <w:r w:rsidR="00B97C73">
        <w:t xml:space="preserve">.” </w:t>
      </w:r>
      <w:r w:rsidR="007A2DC9">
        <w:t>It harms trust in the research and compromises recruitment to use the</w:t>
      </w:r>
      <w:r w:rsidR="00381AC0">
        <w:t xml:space="preserve"> general</w:t>
      </w:r>
      <w:r w:rsidR="007A2DC9">
        <w:t xml:space="preserve"> terms “women” and “men” if </w:t>
      </w:r>
      <w:r w:rsidR="002F6983">
        <w:t xml:space="preserve">a study is </w:t>
      </w:r>
      <w:r w:rsidR="007A2DC9">
        <w:t xml:space="preserve">not open to all </w:t>
      </w:r>
      <w:r w:rsidR="00B77B8E">
        <w:t xml:space="preserve">potential participants </w:t>
      </w:r>
      <w:r w:rsidR="007A2DC9">
        <w:t xml:space="preserve">who identify as women </w:t>
      </w:r>
      <w:r w:rsidR="00AE6447">
        <w:t xml:space="preserve">or </w:t>
      </w:r>
      <w:r w:rsidR="007A2DC9">
        <w:t>men.</w:t>
      </w:r>
      <w:r w:rsidR="0064706C">
        <w:t xml:space="preserve"> </w:t>
      </w:r>
      <w:r w:rsidR="006A5EFF">
        <w:t xml:space="preserve">On the other hand, if </w:t>
      </w:r>
      <w:r w:rsidR="001C5C8A">
        <w:t>a</w:t>
      </w:r>
      <w:r w:rsidR="006A5EFF">
        <w:t xml:space="preserve"> study does not seek to recruit a specific population, the term</w:t>
      </w:r>
      <w:r w:rsidR="00D6057F">
        <w:t>s</w:t>
      </w:r>
      <w:r w:rsidR="006A5EFF">
        <w:t xml:space="preserve"> “individuals” or “adults” </w:t>
      </w:r>
      <w:r w:rsidR="00D6057F">
        <w:t>are</w:t>
      </w:r>
      <w:r w:rsidR="006A5EFF">
        <w:t xml:space="preserve"> appropriate to indicate that </w:t>
      </w:r>
      <w:r w:rsidR="00D6057F">
        <w:t xml:space="preserve">people of </w:t>
      </w:r>
      <w:r w:rsidR="006A5EFF">
        <w:t>all gender</w:t>
      </w:r>
      <w:r w:rsidR="00D6057F">
        <w:t xml:space="preserve"> identities</w:t>
      </w:r>
      <w:r w:rsidR="006A5EFF">
        <w:t xml:space="preserve">, including gender non-binary individuals, are included.  </w:t>
      </w:r>
    </w:p>
    <w:p w14:paraId="433D9228" w14:textId="1A5DFB2A" w:rsidR="000879F0" w:rsidRDefault="006A5EFF" w:rsidP="00775B4D">
      <w:pPr>
        <w:ind w:left="720"/>
      </w:pPr>
      <w:r>
        <w:t xml:space="preserve">Specificity in the protocol title, when appropriate, can help avoid confusion and discouragement for potential study participants, as exemplified in the following scenario:  A </w:t>
      </w:r>
      <w:r w:rsidR="00397717">
        <w:t xml:space="preserve">transgender </w:t>
      </w:r>
      <w:r>
        <w:t xml:space="preserve">man </w:t>
      </w:r>
      <w:r w:rsidR="004F47FD">
        <w:t>scheduled an appointment to</w:t>
      </w:r>
      <w:r w:rsidR="0064706C">
        <w:t xml:space="preserve"> enroll</w:t>
      </w:r>
      <w:r w:rsidR="004F47FD">
        <w:t xml:space="preserve"> </w:t>
      </w:r>
      <w:r w:rsidR="0064706C">
        <w:t xml:space="preserve">in </w:t>
      </w:r>
      <w:r w:rsidR="004F47FD">
        <w:t xml:space="preserve">one of the </w:t>
      </w:r>
      <w:r w:rsidR="001061F1">
        <w:t>NIH</w:t>
      </w:r>
      <w:r w:rsidR="004F47FD">
        <w:t xml:space="preserve">-funded </w:t>
      </w:r>
      <w:r w:rsidR="00910052">
        <w:t xml:space="preserve">HIV/AIDS clinical trials </w:t>
      </w:r>
      <w:r w:rsidR="004F47FD">
        <w:t>network</w:t>
      </w:r>
      <w:r w:rsidR="008C3D40">
        <w:t>’s</w:t>
      </w:r>
      <w:r w:rsidR="004F47FD">
        <w:t xml:space="preserve"> research </w:t>
      </w:r>
      <w:r w:rsidR="0064706C">
        <w:t>stud</w:t>
      </w:r>
      <w:r w:rsidR="004F47FD">
        <w:t xml:space="preserve">ies </w:t>
      </w:r>
      <w:r w:rsidR="00586D61">
        <w:t xml:space="preserve">that was titled </w:t>
      </w:r>
      <w:r w:rsidR="0064706C">
        <w:t xml:space="preserve">for “men.”  </w:t>
      </w:r>
      <w:r w:rsidR="00910052">
        <w:t>When he arrived, he</w:t>
      </w:r>
      <w:r w:rsidR="00586D61">
        <w:t xml:space="preserve"> </w:t>
      </w:r>
      <w:r w:rsidR="00A83A84">
        <w:t>learned</w:t>
      </w:r>
      <w:r w:rsidR="00586D61">
        <w:t xml:space="preserve"> that the study</w:t>
      </w:r>
      <w:r w:rsidR="00910052">
        <w:t xml:space="preserve"> </w:t>
      </w:r>
      <w:r w:rsidR="008D3A48">
        <w:t>was</w:t>
      </w:r>
      <w:r w:rsidR="00910052">
        <w:t xml:space="preserve"> only</w:t>
      </w:r>
      <w:r w:rsidR="00586D61">
        <w:t xml:space="preserve"> enroll</w:t>
      </w:r>
      <w:r w:rsidR="00910052">
        <w:t>ing</w:t>
      </w:r>
      <w:r w:rsidR="00586D61">
        <w:t xml:space="preserve"> individuals </w:t>
      </w:r>
      <w:r w:rsidR="002918D0">
        <w:t xml:space="preserve">assigned </w:t>
      </w:r>
      <w:r w:rsidR="00910052">
        <w:t xml:space="preserve">male </w:t>
      </w:r>
      <w:r w:rsidR="002918D0">
        <w:t xml:space="preserve">sex </w:t>
      </w:r>
      <w:r w:rsidR="00586D61">
        <w:t>at birt</w:t>
      </w:r>
      <w:r w:rsidR="00910052">
        <w:t>h</w:t>
      </w:r>
      <w:r w:rsidR="00586D61">
        <w:t xml:space="preserve">, and that he was not eligible to participate. He </w:t>
      </w:r>
      <w:r w:rsidR="0064706C">
        <w:t xml:space="preserve">left feeling </w:t>
      </w:r>
      <w:r w:rsidR="00586D61">
        <w:t xml:space="preserve">humiliated, </w:t>
      </w:r>
      <w:r w:rsidR="0064706C">
        <w:t xml:space="preserve">angry, </w:t>
      </w:r>
      <w:r w:rsidR="0064706C">
        <w:lastRenderedPageBreak/>
        <w:t>frustr</w:t>
      </w:r>
      <w:r w:rsidR="00397717">
        <w:t>ated</w:t>
      </w:r>
      <w:r w:rsidR="006E0049">
        <w:t>,</w:t>
      </w:r>
      <w:r w:rsidR="00397717">
        <w:t xml:space="preserve"> and disappointed that he was unable to participate</w:t>
      </w:r>
      <w:r w:rsidR="006E0049">
        <w:t xml:space="preserve"> because the study was limited to cisgender men</w:t>
      </w:r>
      <w:r w:rsidR="00397717">
        <w:t xml:space="preserve">. </w:t>
      </w:r>
      <w:r w:rsidR="0064706C">
        <w:t xml:space="preserve">After </w:t>
      </w:r>
      <w:r w:rsidR="004F47FD">
        <w:t>that e</w:t>
      </w:r>
      <w:r w:rsidR="0064706C">
        <w:t xml:space="preserve">xperience, </w:t>
      </w:r>
      <w:r w:rsidR="004F47FD">
        <w:t>he is</w:t>
      </w:r>
      <w:r w:rsidR="0064706C">
        <w:t xml:space="preserve"> unlikely</w:t>
      </w:r>
      <w:r w:rsidR="004F47FD">
        <w:t xml:space="preserve"> to </w:t>
      </w:r>
      <w:r w:rsidR="0064706C">
        <w:t>seek information about future stud</w:t>
      </w:r>
      <w:r w:rsidR="004F47FD">
        <w:t>ies</w:t>
      </w:r>
      <w:r w:rsidR="0064706C">
        <w:t xml:space="preserve">, unless he </w:t>
      </w:r>
      <w:r w:rsidR="00397717">
        <w:t xml:space="preserve">can be </w:t>
      </w:r>
      <w:r w:rsidR="004F47FD">
        <w:t xml:space="preserve">certain he is </w:t>
      </w:r>
      <w:r w:rsidR="0064706C">
        <w:t xml:space="preserve">considered part of </w:t>
      </w:r>
      <w:r w:rsidR="006E0049">
        <w:t xml:space="preserve">the </w:t>
      </w:r>
      <w:r w:rsidR="0064706C">
        <w:t xml:space="preserve">study population. </w:t>
      </w:r>
    </w:p>
    <w:p w14:paraId="41B4F36F" w14:textId="183489F4" w:rsidR="00660870" w:rsidRDefault="00CE79B7" w:rsidP="00A33545">
      <w:pPr>
        <w:pStyle w:val="ListParagraph"/>
        <w:numPr>
          <w:ilvl w:val="0"/>
          <w:numId w:val="14"/>
        </w:numPr>
      </w:pPr>
      <w:r w:rsidRPr="005B4637">
        <w:rPr>
          <w:b/>
          <w:u w:val="single"/>
        </w:rPr>
        <w:t>Protocol overview/background</w:t>
      </w:r>
      <w:r w:rsidR="00437F33" w:rsidRPr="005B4637">
        <w:rPr>
          <w:b/>
          <w:u w:val="single"/>
        </w:rPr>
        <w:t xml:space="preserve"> </w:t>
      </w:r>
      <w:r w:rsidR="00437F33" w:rsidRPr="005B4637">
        <w:rPr>
          <w:b/>
        </w:rPr>
        <w:t>–</w:t>
      </w:r>
      <w:r w:rsidR="00FF3818" w:rsidRPr="005B4637">
        <w:rPr>
          <w:b/>
        </w:rPr>
        <w:t xml:space="preserve"> When the study population is described</w:t>
      </w:r>
      <w:r w:rsidR="00556AD9" w:rsidRPr="005B4637">
        <w:rPr>
          <w:b/>
        </w:rPr>
        <w:t xml:space="preserve"> for the first time</w:t>
      </w:r>
      <w:r w:rsidR="00D6057F" w:rsidRPr="005B4637">
        <w:rPr>
          <w:b/>
        </w:rPr>
        <w:t>,</w:t>
      </w:r>
      <w:r w:rsidR="0082786E" w:rsidRPr="005B4637">
        <w:rPr>
          <w:b/>
        </w:rPr>
        <w:t xml:space="preserve"> it should be clearly defined.</w:t>
      </w:r>
      <w:r w:rsidR="0082786E" w:rsidRPr="005B4637">
        <w:t xml:space="preserve"> </w:t>
      </w:r>
      <w:r w:rsidR="00D6057F">
        <w:t>To define the study population, the following terms may be used, depending on the study</w:t>
      </w:r>
      <w:r w:rsidR="00660870">
        <w:t>:</w:t>
      </w:r>
    </w:p>
    <w:p w14:paraId="2034E00E" w14:textId="77777777" w:rsidR="000B7480" w:rsidRPr="00910052" w:rsidRDefault="000B7480" w:rsidP="00910052">
      <w:pPr>
        <w:pStyle w:val="ListParagraph"/>
        <w:numPr>
          <w:ilvl w:val="1"/>
          <w:numId w:val="16"/>
        </w:numPr>
      </w:pPr>
      <w:r w:rsidRPr="00910052">
        <w:t>Cisgender</w:t>
      </w:r>
    </w:p>
    <w:p w14:paraId="27843149" w14:textId="77777777" w:rsidR="000B7480" w:rsidRPr="00910052" w:rsidRDefault="000B7480" w:rsidP="00910052">
      <w:pPr>
        <w:pStyle w:val="ListParagraph"/>
        <w:numPr>
          <w:ilvl w:val="1"/>
          <w:numId w:val="16"/>
        </w:numPr>
      </w:pPr>
      <w:r w:rsidRPr="00910052">
        <w:t xml:space="preserve">Transgender </w:t>
      </w:r>
    </w:p>
    <w:p w14:paraId="156379D7" w14:textId="77777777" w:rsidR="000B7480" w:rsidRPr="00910052" w:rsidRDefault="000B7480" w:rsidP="00910052">
      <w:pPr>
        <w:pStyle w:val="ListParagraph"/>
        <w:numPr>
          <w:ilvl w:val="1"/>
          <w:numId w:val="16"/>
        </w:numPr>
      </w:pPr>
      <w:r w:rsidRPr="00910052">
        <w:t>Gender non-binary</w:t>
      </w:r>
    </w:p>
    <w:p w14:paraId="2445E90D" w14:textId="78CB62A6" w:rsidR="000B7480" w:rsidRPr="00E6154E" w:rsidRDefault="000B7480" w:rsidP="00910052">
      <w:pPr>
        <w:pStyle w:val="ListParagraph"/>
        <w:numPr>
          <w:ilvl w:val="1"/>
          <w:numId w:val="16"/>
        </w:numPr>
      </w:pPr>
      <w:r w:rsidRPr="00910052">
        <w:t xml:space="preserve">All </w:t>
      </w:r>
      <w:r w:rsidR="00F86E3F">
        <w:t>i</w:t>
      </w:r>
      <w:r w:rsidRPr="00910052">
        <w:t>ndividuals</w:t>
      </w:r>
    </w:p>
    <w:p w14:paraId="0CBFA083" w14:textId="3C396995" w:rsidR="000B7480" w:rsidRDefault="000B7480" w:rsidP="00910052">
      <w:pPr>
        <w:ind w:left="720"/>
      </w:pPr>
      <w:r>
        <w:t xml:space="preserve">Acronyms and abbreviations may be identified for subsequent references to the study population (e.g. transgender woman [TGW], transgender man [TGM], etc.). </w:t>
      </w:r>
    </w:p>
    <w:p w14:paraId="6F8189C6" w14:textId="51368A3F" w:rsidR="000B7480" w:rsidRPr="008425BF" w:rsidRDefault="000B7480" w:rsidP="008425BF">
      <w:pPr>
        <w:pStyle w:val="ListParagraph"/>
      </w:pPr>
      <w:r w:rsidRPr="005B4637">
        <w:rPr>
          <w:b/>
        </w:rPr>
        <w:t>If</w:t>
      </w:r>
      <w:r w:rsidR="00D6057F" w:rsidRPr="005B4637">
        <w:rPr>
          <w:b/>
        </w:rPr>
        <w:t xml:space="preserve"> required</w:t>
      </w:r>
      <w:r w:rsidRPr="005B4637">
        <w:rPr>
          <w:b/>
        </w:rPr>
        <w:t>, participants’ sexual practices should also be described</w:t>
      </w:r>
      <w:r w:rsidR="00D6057F" w:rsidRPr="005B4637">
        <w:rPr>
          <w:b/>
        </w:rPr>
        <w:t xml:space="preserve"> (e.g. individuals who have receptive anal and/or vaginal sex with cisgender men)</w:t>
      </w:r>
      <w:r w:rsidRPr="005B4637">
        <w:rPr>
          <w:b/>
        </w:rPr>
        <w:t>.</w:t>
      </w:r>
      <w:r>
        <w:t xml:space="preserve"> While the term “men who have sex with men” (MSM) is commonly used, it is important to clearly state whether the term “men” includes transgender men as well as cisgender men.</w:t>
      </w:r>
    </w:p>
    <w:p w14:paraId="3263D360" w14:textId="4C14385E" w:rsidR="000B7480" w:rsidRDefault="000B7480" w:rsidP="008425BF">
      <w:pPr>
        <w:pStyle w:val="ListParagraph"/>
      </w:pPr>
    </w:p>
    <w:p w14:paraId="7347BF32" w14:textId="39B77D2A" w:rsidR="004B3C1B" w:rsidRPr="000B7480" w:rsidRDefault="000879F0" w:rsidP="008425BF">
      <w:pPr>
        <w:pStyle w:val="ListParagraph"/>
        <w:numPr>
          <w:ilvl w:val="0"/>
          <w:numId w:val="14"/>
        </w:numPr>
        <w:rPr>
          <w:u w:val="single"/>
        </w:rPr>
      </w:pPr>
      <w:r w:rsidRPr="005B4637">
        <w:rPr>
          <w:b/>
          <w:u w:val="single"/>
        </w:rPr>
        <w:t>Rationale for selection of study population</w:t>
      </w:r>
      <w:r w:rsidRPr="005B4637">
        <w:rPr>
          <w:b/>
        </w:rPr>
        <w:t xml:space="preserve"> – </w:t>
      </w:r>
      <w:r w:rsidR="00BD1CF1" w:rsidRPr="00A13AE8">
        <w:t xml:space="preserve">The NIH </w:t>
      </w:r>
      <w:r w:rsidR="0073415E" w:rsidRPr="00A13AE8">
        <w:t>Revitalization</w:t>
      </w:r>
      <w:r w:rsidR="00BD1CF1" w:rsidRPr="00A13AE8">
        <w:t xml:space="preserve"> Act of 1993 </w:t>
      </w:r>
      <w:r w:rsidR="00B1187F" w:rsidRPr="00A13AE8">
        <w:t>(</w:t>
      </w:r>
      <w:r w:rsidR="00E56CB7" w:rsidRPr="00A13AE8">
        <w:t>t</w:t>
      </w:r>
      <w:r w:rsidR="00B1187F" w:rsidRPr="00A13AE8">
        <w:t xml:space="preserve">he Act) </w:t>
      </w:r>
      <w:r w:rsidR="008F532E">
        <w:t>requires</w:t>
      </w:r>
      <w:r w:rsidR="00F518AF">
        <w:t xml:space="preserve"> </w:t>
      </w:r>
      <w:r w:rsidR="00BD1CF1" w:rsidRPr="00A13AE8">
        <w:t>th</w:t>
      </w:r>
      <w:r w:rsidR="008F532E">
        <w:t>at</w:t>
      </w:r>
      <w:r w:rsidR="00BD1CF1" w:rsidRPr="00A13AE8">
        <w:t xml:space="preserve"> </w:t>
      </w:r>
      <w:r w:rsidR="00F518AF" w:rsidRPr="00F518AF">
        <w:t>women and minority groups be included in all NIH-funded clinical research, unless a clear and compelling rationale establishes that inclusion is inappropriate</w:t>
      </w:r>
      <w:r w:rsidR="008F532E">
        <w:rPr>
          <w:rFonts w:ascii="Source Sans Pro" w:hAnsi="Source Sans Pro"/>
          <w:color w:val="333333"/>
          <w:shd w:val="clear" w:color="auto" w:fill="FFFFFF"/>
        </w:rPr>
        <w:t>.</w:t>
      </w:r>
      <w:r w:rsidR="00831076">
        <w:rPr>
          <w:rStyle w:val="FootnoteReference"/>
        </w:rPr>
        <w:footnoteReference w:id="2"/>
      </w:r>
      <w:r w:rsidR="00831076" w:rsidRPr="00A13AE8" w:rsidDel="00831076">
        <w:t xml:space="preserve"> </w:t>
      </w:r>
      <w:r w:rsidR="00BD1CF1" w:rsidRPr="00A13AE8">
        <w:t xml:space="preserve">The Act also requires that the composition of the study population </w:t>
      </w:r>
      <w:r w:rsidR="00B1187F" w:rsidRPr="00A13AE8">
        <w:t>is</w:t>
      </w:r>
      <w:r w:rsidR="00BD1CF1" w:rsidRPr="00A13AE8">
        <w:t xml:space="preserve"> addressed in terms of </w:t>
      </w:r>
      <w:r w:rsidR="00B1187F" w:rsidRPr="00A13AE8">
        <w:t>“</w:t>
      </w:r>
      <w:r w:rsidR="00BD1CF1" w:rsidRPr="00A13AE8">
        <w:t>sex</w:t>
      </w:r>
      <w:r w:rsidR="00B1187F" w:rsidRPr="00A13AE8">
        <w:t>/</w:t>
      </w:r>
      <w:r w:rsidR="00BD1CF1" w:rsidRPr="00A13AE8">
        <w:t>gender and racial/ethnic group</w:t>
      </w:r>
      <w:r w:rsidR="00B1187F" w:rsidRPr="00A13AE8">
        <w:t>” in study proposals</w:t>
      </w:r>
      <w:r w:rsidR="00BD1CF1" w:rsidRPr="00A13AE8">
        <w:t>.</w:t>
      </w:r>
      <w:r w:rsidR="00B1187F">
        <w:t xml:space="preserve"> [</w:t>
      </w:r>
      <w:r w:rsidR="00B1187F" w:rsidRPr="00A13AE8">
        <w:t>Note: the authors of this guidance interpret the language in the Act to mean that the</w:t>
      </w:r>
      <w:r w:rsidR="00B1187F" w:rsidRPr="000B7480">
        <w:rPr>
          <w:i/>
        </w:rPr>
        <w:t xml:space="preserve"> study population should be described in terms of sex, gender, race, </w:t>
      </w:r>
      <w:r w:rsidR="00B1187F" w:rsidRPr="000B7480">
        <w:rPr>
          <w:i/>
          <w:u w:val="single"/>
        </w:rPr>
        <w:t>and</w:t>
      </w:r>
      <w:r w:rsidR="00B1187F" w:rsidRPr="000B7480">
        <w:rPr>
          <w:i/>
        </w:rPr>
        <w:t xml:space="preserve"> ethnicity, since sex and gender are not the same, and race and ethnicity are not the same.</w:t>
      </w:r>
      <w:r w:rsidR="00B1187F">
        <w:t>]</w:t>
      </w:r>
    </w:p>
    <w:p w14:paraId="0DE6FE12" w14:textId="5CC41031" w:rsidR="00184BF0" w:rsidRDefault="00BD1CF1" w:rsidP="00184BF0">
      <w:pPr>
        <w:ind w:left="720"/>
      </w:pPr>
      <w:r w:rsidRPr="006C2234">
        <w:rPr>
          <w:b/>
        </w:rPr>
        <w:t>In accordance with the</w:t>
      </w:r>
      <w:r w:rsidR="00AE6447">
        <w:rPr>
          <w:b/>
        </w:rPr>
        <w:t xml:space="preserve"> NIH Revitalization</w:t>
      </w:r>
      <w:r w:rsidRPr="006C2234">
        <w:rPr>
          <w:b/>
        </w:rPr>
        <w:t xml:space="preserve"> Act, </w:t>
      </w:r>
      <w:r w:rsidR="005843B7" w:rsidRPr="006C2234">
        <w:rPr>
          <w:b/>
        </w:rPr>
        <w:t xml:space="preserve">the </w:t>
      </w:r>
      <w:r w:rsidR="009507B0" w:rsidRPr="006C2234">
        <w:rPr>
          <w:b/>
        </w:rPr>
        <w:t xml:space="preserve">study population </w:t>
      </w:r>
      <w:r w:rsidRPr="006C2234">
        <w:rPr>
          <w:b/>
        </w:rPr>
        <w:t xml:space="preserve">section of </w:t>
      </w:r>
      <w:r w:rsidR="004B3A32" w:rsidRPr="006C2234">
        <w:rPr>
          <w:b/>
        </w:rPr>
        <w:t xml:space="preserve">all study </w:t>
      </w:r>
      <w:r w:rsidRPr="006C2234">
        <w:rPr>
          <w:b/>
        </w:rPr>
        <w:t>protocol</w:t>
      </w:r>
      <w:r w:rsidR="004B3A32" w:rsidRPr="006C2234">
        <w:rPr>
          <w:b/>
        </w:rPr>
        <w:t>s</w:t>
      </w:r>
      <w:r w:rsidRPr="006C2234">
        <w:rPr>
          <w:b/>
        </w:rPr>
        <w:t xml:space="preserve"> should describe </w:t>
      </w:r>
      <w:r w:rsidR="00A24E6B" w:rsidRPr="006C2234">
        <w:rPr>
          <w:b/>
        </w:rPr>
        <w:t xml:space="preserve">potential </w:t>
      </w:r>
      <w:r w:rsidR="009507B0" w:rsidRPr="006C2234">
        <w:rPr>
          <w:b/>
        </w:rPr>
        <w:t xml:space="preserve">participants </w:t>
      </w:r>
      <w:r w:rsidRPr="006C2234">
        <w:rPr>
          <w:b/>
        </w:rPr>
        <w:t xml:space="preserve">in terms of gender identity and sex assigned at birth. When </w:t>
      </w:r>
      <w:r w:rsidR="004B3A32" w:rsidRPr="006C2234">
        <w:rPr>
          <w:b/>
        </w:rPr>
        <w:t xml:space="preserve">cisgender </w:t>
      </w:r>
      <w:r w:rsidR="00B1187F" w:rsidRPr="006C2234">
        <w:rPr>
          <w:b/>
        </w:rPr>
        <w:t>women and minority groups (including transgender people</w:t>
      </w:r>
      <w:r w:rsidR="00E56CB7" w:rsidRPr="006C2234">
        <w:rPr>
          <w:b/>
        </w:rPr>
        <w:t>, whom the NIH has formally designated a “health disparity population” along with other sexual and gender minorities</w:t>
      </w:r>
      <w:r w:rsidR="00800B29">
        <w:rPr>
          <w:rStyle w:val="FootnoteReference"/>
          <w:b/>
        </w:rPr>
        <w:footnoteReference w:id="3"/>
      </w:r>
      <w:r w:rsidR="001045F1" w:rsidRPr="001045F1">
        <w:rPr>
          <w:b/>
          <w:vertAlign w:val="superscript"/>
        </w:rPr>
        <w:t>,</w:t>
      </w:r>
      <w:r w:rsidR="001045F1">
        <w:rPr>
          <w:rStyle w:val="FootnoteReference"/>
          <w:b/>
        </w:rPr>
        <w:footnoteReference w:id="4"/>
      </w:r>
      <w:r w:rsidR="00800B29">
        <w:rPr>
          <w:b/>
        </w:rPr>
        <w:t>)</w:t>
      </w:r>
      <w:r w:rsidR="00B1187F" w:rsidRPr="006C2234">
        <w:rPr>
          <w:b/>
        </w:rPr>
        <w:t xml:space="preserve"> are</w:t>
      </w:r>
      <w:r w:rsidRPr="006C2234">
        <w:rPr>
          <w:b/>
        </w:rPr>
        <w:t xml:space="preserve"> excluded from a study</w:t>
      </w:r>
      <w:r w:rsidR="00B1187F" w:rsidRPr="006C2234">
        <w:rPr>
          <w:b/>
        </w:rPr>
        <w:t>,</w:t>
      </w:r>
      <w:r w:rsidRPr="006C2234">
        <w:rPr>
          <w:b/>
        </w:rPr>
        <w:t xml:space="preserve"> this section of the protocol should clearly explain why</w:t>
      </w:r>
      <w:r w:rsidR="00B1187F" w:rsidRPr="006C2234">
        <w:rPr>
          <w:b/>
        </w:rPr>
        <w:t xml:space="preserve"> their exclusion is necessary.</w:t>
      </w:r>
      <w:r w:rsidR="00B1187F">
        <w:t xml:space="preserve"> The Act </w:t>
      </w:r>
      <w:r w:rsidR="00E56CB7">
        <w:t xml:space="preserve">applies to all Phase III and “pivotal Phase II and IV” studies, but the authors of this guidance recommend that </w:t>
      </w:r>
      <w:r w:rsidR="00E56CB7" w:rsidRPr="004B3C1B">
        <w:rPr>
          <w:i/>
        </w:rPr>
        <w:t>all</w:t>
      </w:r>
      <w:r w:rsidR="00E56CB7">
        <w:t xml:space="preserve"> clinical research conducted by the </w:t>
      </w:r>
      <w:r w:rsidR="00556AD9">
        <w:t>NIH</w:t>
      </w:r>
      <w:r w:rsidR="00E56CB7">
        <w:t xml:space="preserve">-funded HIV/AIDS clinical trials networks includes cisgender women and </w:t>
      </w:r>
      <w:r w:rsidR="00A24E6B">
        <w:t xml:space="preserve">minority groups, including </w:t>
      </w:r>
      <w:r w:rsidR="00E56CB7">
        <w:t>transgender people</w:t>
      </w:r>
      <w:r w:rsidR="00A24E6B">
        <w:t>,</w:t>
      </w:r>
      <w:r w:rsidR="00E56CB7">
        <w:t xml:space="preserve"> “unless a clear and compelling rationale establishes that inclusion is inappropriate.”</w:t>
      </w:r>
      <w:r w:rsidR="00B1187F">
        <w:t xml:space="preserve"> </w:t>
      </w:r>
      <w:r>
        <w:t xml:space="preserve"> </w:t>
      </w:r>
    </w:p>
    <w:p w14:paraId="0086582F" w14:textId="5613641E" w:rsidR="00184BF0" w:rsidRDefault="00184BF0" w:rsidP="00184BF0">
      <w:pPr>
        <w:pStyle w:val="ListParagraph"/>
      </w:pPr>
      <w:r w:rsidRPr="00CD5246">
        <w:t>Th</w:t>
      </w:r>
      <w:r w:rsidR="00880550">
        <w:t>e</w:t>
      </w:r>
      <w:r w:rsidRPr="00CD5246">
        <w:t xml:space="preserve"> designation</w:t>
      </w:r>
      <w:r w:rsidR="00880550">
        <w:t xml:space="preserve"> of sexual and gender minorities as a “health disparity population”</w:t>
      </w:r>
      <w:r w:rsidRPr="00CD5246">
        <w:t xml:space="preserve"> acknowledges the unique health challenges faced by these communities and the need for focused research that would help minimize the disproportionate impact of various diseases and conditions. This is highly relevant for the NIH-funded </w:t>
      </w:r>
      <w:r w:rsidR="009921F8">
        <w:t xml:space="preserve">HIV/AIDS clinical trials </w:t>
      </w:r>
      <w:r w:rsidRPr="00CD5246">
        <w:t xml:space="preserve">networks. By capturing data and accurately reporting on the </w:t>
      </w:r>
      <w:r w:rsidRPr="00CD5246">
        <w:lastRenderedPageBreak/>
        <w:t>number of transgender people in our studies</w:t>
      </w:r>
      <w:r w:rsidR="00A24E6B">
        <w:t>,</w:t>
      </w:r>
      <w:r w:rsidRPr="00CD5246">
        <w:t xml:space="preserve"> we can begin to address the disproportionate impact of HIV on transgender communities.</w:t>
      </w:r>
    </w:p>
    <w:p w14:paraId="639A68AD" w14:textId="396CB83B" w:rsidR="00184BF0" w:rsidRDefault="00184BF0" w:rsidP="00184BF0">
      <w:pPr>
        <w:pStyle w:val="ListParagraph"/>
        <w:rPr>
          <w:u w:val="single"/>
        </w:rPr>
      </w:pPr>
    </w:p>
    <w:p w14:paraId="48854A5F" w14:textId="56509FDD" w:rsidR="002E642F" w:rsidRPr="00184BF0" w:rsidRDefault="00770FB7" w:rsidP="000B7480">
      <w:pPr>
        <w:pStyle w:val="ListParagraph"/>
        <w:numPr>
          <w:ilvl w:val="0"/>
          <w:numId w:val="14"/>
        </w:numPr>
        <w:rPr>
          <w:u w:val="single"/>
        </w:rPr>
      </w:pPr>
      <w:r w:rsidRPr="005B4637">
        <w:rPr>
          <w:b/>
          <w:u w:val="single"/>
        </w:rPr>
        <w:t>Eligibility</w:t>
      </w:r>
      <w:r w:rsidR="00CE79B7" w:rsidRPr="005B4637">
        <w:rPr>
          <w:b/>
          <w:u w:val="single"/>
        </w:rPr>
        <w:t xml:space="preserve"> criteria</w:t>
      </w:r>
      <w:r w:rsidR="00437F33" w:rsidRPr="005B4637">
        <w:rPr>
          <w:b/>
        </w:rPr>
        <w:t xml:space="preserve"> –</w:t>
      </w:r>
      <w:r w:rsidR="0064706C" w:rsidRPr="005B4637">
        <w:rPr>
          <w:b/>
        </w:rPr>
        <w:t xml:space="preserve"> This section of the protocol should specify</w:t>
      </w:r>
      <w:r w:rsidR="002E642F" w:rsidRPr="005B4637">
        <w:rPr>
          <w:b/>
        </w:rPr>
        <w:t xml:space="preserve"> sex assigned at birth, gender identity, </w:t>
      </w:r>
      <w:r w:rsidR="00F21056" w:rsidRPr="005B4637">
        <w:rPr>
          <w:b/>
        </w:rPr>
        <w:t>and gender-</w:t>
      </w:r>
      <w:r w:rsidR="002E642F" w:rsidRPr="005B4637">
        <w:rPr>
          <w:b/>
        </w:rPr>
        <w:t>related factors</w:t>
      </w:r>
      <w:r w:rsidR="00880550" w:rsidRPr="005B4637">
        <w:rPr>
          <w:b/>
        </w:rPr>
        <w:t>,</w:t>
      </w:r>
      <w:r w:rsidR="002E642F" w:rsidRPr="005B4637">
        <w:rPr>
          <w:b/>
        </w:rPr>
        <w:t xml:space="preserve"> among other</w:t>
      </w:r>
      <w:r w:rsidR="006C2234">
        <w:rPr>
          <w:b/>
        </w:rPr>
        <w:t xml:space="preserve"> criteria required for </w:t>
      </w:r>
      <w:r w:rsidR="002E642F" w:rsidRPr="005B4637">
        <w:rPr>
          <w:b/>
        </w:rPr>
        <w:t>eligibility.</w:t>
      </w:r>
      <w:r w:rsidR="002E642F">
        <w:t xml:space="preserve"> These include: </w:t>
      </w:r>
    </w:p>
    <w:p w14:paraId="2438957D" w14:textId="020B1C9C" w:rsidR="00EF5DCF" w:rsidRPr="00A039B3" w:rsidRDefault="00EF5DCF" w:rsidP="0064706C">
      <w:pPr>
        <w:pStyle w:val="ListParagraph"/>
        <w:numPr>
          <w:ilvl w:val="2"/>
          <w:numId w:val="4"/>
        </w:numPr>
      </w:pPr>
      <w:r w:rsidRPr="00A039B3">
        <w:t>The sex assigned at birth of participants who are eligible for the study</w:t>
      </w:r>
      <w:r w:rsidR="00F542DF" w:rsidRPr="00A039B3">
        <w:t xml:space="preserve"> (i.e. </w:t>
      </w:r>
      <w:r w:rsidR="00F542DF" w:rsidRPr="0064706C">
        <w:rPr>
          <w:i/>
        </w:rPr>
        <w:t>assigned female sex at birth</w:t>
      </w:r>
      <w:r w:rsidR="00F542DF" w:rsidRPr="00A039B3">
        <w:t xml:space="preserve">, </w:t>
      </w:r>
      <w:r w:rsidR="00F542DF" w:rsidRPr="0064706C">
        <w:rPr>
          <w:i/>
        </w:rPr>
        <w:t>assigned male sex at birth</w:t>
      </w:r>
      <w:r w:rsidR="00F542DF" w:rsidRPr="00A039B3">
        <w:t xml:space="preserve">, </w:t>
      </w:r>
      <w:r w:rsidR="00F542DF" w:rsidRPr="0064706C">
        <w:rPr>
          <w:i/>
        </w:rPr>
        <w:t>assigned any sex at birth</w:t>
      </w:r>
      <w:r w:rsidR="00F542DF" w:rsidRPr="00A039B3">
        <w:t>)</w:t>
      </w:r>
      <w:r w:rsidR="006A5D5D">
        <w:t>.</w:t>
      </w:r>
    </w:p>
    <w:p w14:paraId="6BC370B5" w14:textId="77777777" w:rsidR="00F83405" w:rsidRDefault="00E56CB7" w:rsidP="00F83405">
      <w:pPr>
        <w:pStyle w:val="ListParagraph"/>
        <w:numPr>
          <w:ilvl w:val="2"/>
          <w:numId w:val="4"/>
        </w:numPr>
      </w:pPr>
      <w:r w:rsidRPr="00A039B3">
        <w:t xml:space="preserve">The gender identity of participants who are eligible for the study </w:t>
      </w:r>
      <w:r w:rsidR="00F542DF" w:rsidRPr="00A039B3">
        <w:t xml:space="preserve">(e.g. </w:t>
      </w:r>
      <w:r w:rsidR="00F542DF" w:rsidRPr="00A039B3">
        <w:rPr>
          <w:i/>
        </w:rPr>
        <w:t>people of all gender identities</w:t>
      </w:r>
      <w:r w:rsidR="00F542DF" w:rsidRPr="00A039B3">
        <w:t xml:space="preserve">, </w:t>
      </w:r>
      <w:r w:rsidR="00F542DF" w:rsidRPr="00A039B3">
        <w:rPr>
          <w:i/>
        </w:rPr>
        <w:t>cisgender women</w:t>
      </w:r>
      <w:r w:rsidR="00F542DF" w:rsidRPr="00A039B3">
        <w:t xml:space="preserve">, </w:t>
      </w:r>
      <w:r w:rsidR="00F542DF" w:rsidRPr="00A039B3">
        <w:rPr>
          <w:i/>
        </w:rPr>
        <w:t>transgender men</w:t>
      </w:r>
      <w:r w:rsidR="00F542DF" w:rsidRPr="00A039B3">
        <w:t>, etc</w:t>
      </w:r>
      <w:r w:rsidR="00A039B3">
        <w:t>.</w:t>
      </w:r>
      <w:r w:rsidR="00F542DF" w:rsidRPr="00A039B3">
        <w:t>)</w:t>
      </w:r>
      <w:r w:rsidR="006A5D5D">
        <w:t>.</w:t>
      </w:r>
    </w:p>
    <w:p w14:paraId="62CCA3D2" w14:textId="77777777" w:rsidR="00F83405" w:rsidRDefault="00F542DF" w:rsidP="00F83405">
      <w:pPr>
        <w:pStyle w:val="ListParagraph"/>
        <w:numPr>
          <w:ilvl w:val="2"/>
          <w:numId w:val="4"/>
        </w:numPr>
      </w:pPr>
      <w:r w:rsidRPr="00A039B3">
        <w:t>Other</w:t>
      </w:r>
      <w:r w:rsidR="00770FB7">
        <w:t xml:space="preserve"> eligibility</w:t>
      </w:r>
      <w:r w:rsidRPr="00A039B3">
        <w:t xml:space="preserve"> factors </w:t>
      </w:r>
      <w:r w:rsidR="00770FB7">
        <w:t xml:space="preserve">for inclusion/exclusion </w:t>
      </w:r>
      <w:r w:rsidRPr="00A039B3">
        <w:t>(e.g. gluteal implants or fillers</w:t>
      </w:r>
      <w:r w:rsidR="00556AD9" w:rsidRPr="00A039B3">
        <w:t xml:space="preserve">, hormone use, HIV status, prior ART use, </w:t>
      </w:r>
      <w:r w:rsidR="00AF6A67">
        <w:t xml:space="preserve">childbearing potential, </w:t>
      </w:r>
      <w:r w:rsidR="00556AD9" w:rsidRPr="00A039B3">
        <w:t>etc</w:t>
      </w:r>
      <w:r w:rsidR="00D92756" w:rsidRPr="00A039B3">
        <w:t>.</w:t>
      </w:r>
      <w:r w:rsidRPr="00A039B3">
        <w:t>)</w:t>
      </w:r>
      <w:r w:rsidR="00AF6A67">
        <w:t>.</w:t>
      </w:r>
    </w:p>
    <w:p w14:paraId="1D81E2ED" w14:textId="12323F82" w:rsidR="00670DA7" w:rsidRDefault="00AF6A67" w:rsidP="00F83405">
      <w:pPr>
        <w:ind w:left="720"/>
      </w:pPr>
      <w:r>
        <w:t>When addressing childbearing potential,</w:t>
      </w:r>
      <w:r w:rsidR="00FD0616">
        <w:t xml:space="preserve"> </w:t>
      </w:r>
      <w:r w:rsidR="00946A37">
        <w:t>terms</w:t>
      </w:r>
      <w:r w:rsidR="00904FD0">
        <w:t xml:space="preserve"> such as </w:t>
      </w:r>
      <w:r w:rsidR="00291D9D" w:rsidRPr="009E51DD">
        <w:t>“individual</w:t>
      </w:r>
      <w:r w:rsidR="00946A37">
        <w:t xml:space="preserve"> of childbearing potential</w:t>
      </w:r>
      <w:r w:rsidR="00291D9D" w:rsidRPr="009E51DD">
        <w:t>”</w:t>
      </w:r>
      <w:r w:rsidR="00946A37">
        <w:t xml:space="preserve"> or “people of childbearing potential”</w:t>
      </w:r>
      <w:r w:rsidR="00291D9D" w:rsidRPr="009E51DD">
        <w:t xml:space="preserve"> </w:t>
      </w:r>
      <w:r w:rsidR="00946A37">
        <w:t>are</w:t>
      </w:r>
      <w:r w:rsidR="00291D9D">
        <w:t xml:space="preserve"> preferred </w:t>
      </w:r>
      <w:r w:rsidR="00946A37">
        <w:t>instead of “women of childbearing potential</w:t>
      </w:r>
      <w:r w:rsidR="00B15F8F">
        <w:t>”</w:t>
      </w:r>
      <w:r w:rsidR="000B7480">
        <w:t xml:space="preserve"> or </w:t>
      </w:r>
      <w:r w:rsidR="00B15F8F">
        <w:t>“</w:t>
      </w:r>
      <w:r w:rsidR="000B7480">
        <w:t>females of reproductive potential</w:t>
      </w:r>
      <w:r w:rsidR="001C086C">
        <w:t>,</w:t>
      </w:r>
      <w:r w:rsidR="00946A37">
        <w:t>”</w:t>
      </w:r>
      <w:r w:rsidR="001C086C">
        <w:t xml:space="preserve"> since transgender men and people assigned female at birth </w:t>
      </w:r>
      <w:r w:rsidR="006A5EFF">
        <w:t xml:space="preserve">who </w:t>
      </w:r>
      <w:r w:rsidR="001C086C">
        <w:t>identify as</w:t>
      </w:r>
      <w:r w:rsidR="006A5EFF">
        <w:t xml:space="preserve"> gender</w:t>
      </w:r>
      <w:r w:rsidR="001C086C">
        <w:t xml:space="preserve"> non-binary </w:t>
      </w:r>
      <w:r w:rsidR="0096667D">
        <w:t>may</w:t>
      </w:r>
      <w:r w:rsidR="001C086C">
        <w:t xml:space="preserve"> also </w:t>
      </w:r>
      <w:r w:rsidR="00910052">
        <w:t xml:space="preserve">be </w:t>
      </w:r>
      <w:r w:rsidR="001C086C">
        <w:t>of childbearing potential</w:t>
      </w:r>
      <w:r w:rsidR="00291D9D" w:rsidRPr="009E51DD">
        <w:t>.</w:t>
      </w:r>
      <w:r w:rsidR="00291D9D">
        <w:t xml:space="preserve"> </w:t>
      </w:r>
      <w:r w:rsidR="0096667D">
        <w:t>Similarly, the term “</w:t>
      </w:r>
      <w:r w:rsidR="008425BF">
        <w:t>men</w:t>
      </w:r>
      <w:r w:rsidR="00B15F8F">
        <w:t>/</w:t>
      </w:r>
      <w:r w:rsidR="008425BF">
        <w:t xml:space="preserve">males of reproductive potential” </w:t>
      </w:r>
      <w:r w:rsidR="0096667D">
        <w:t>is not fully accurate as people assigned male at birth who do not identify as men may</w:t>
      </w:r>
      <w:r w:rsidR="008425BF">
        <w:t xml:space="preserve"> be of reproductive potential</w:t>
      </w:r>
      <w:r w:rsidR="00910052">
        <w:t xml:space="preserve"> as well</w:t>
      </w:r>
      <w:r w:rsidR="008425BF">
        <w:t xml:space="preserve">. </w:t>
      </w:r>
      <w:r w:rsidR="00780B8C">
        <w:t xml:space="preserve">Also, </w:t>
      </w:r>
      <w:r w:rsidR="00780B8C" w:rsidRPr="009E51DD">
        <w:t xml:space="preserve">since people </w:t>
      </w:r>
      <w:r w:rsidR="00780B8C">
        <w:t xml:space="preserve">who do not identify as women or mothers </w:t>
      </w:r>
      <w:r w:rsidR="00780B8C" w:rsidRPr="009E51DD">
        <w:t>can become pregnant</w:t>
      </w:r>
      <w:r w:rsidR="00780B8C">
        <w:t xml:space="preserve"> and give birth, the </w:t>
      </w:r>
      <w:r w:rsidR="007E2BFF">
        <w:t xml:space="preserve">term </w:t>
      </w:r>
      <w:r w:rsidR="00E8781E">
        <w:t>“</w:t>
      </w:r>
      <w:r w:rsidR="007E2BFF">
        <w:t>perinatal transmission</w:t>
      </w:r>
      <w:r w:rsidR="00E8781E">
        <w:t>”</w:t>
      </w:r>
      <w:r w:rsidR="007E2BFF">
        <w:t xml:space="preserve"> should be </w:t>
      </w:r>
      <w:r w:rsidR="00291D9D" w:rsidRPr="009E51DD">
        <w:t>use</w:t>
      </w:r>
      <w:r w:rsidR="007E2BFF">
        <w:t xml:space="preserve">d instead of </w:t>
      </w:r>
      <w:r w:rsidR="00291D9D" w:rsidRPr="009E51DD">
        <w:t>“mother to child transmission</w:t>
      </w:r>
      <w:r w:rsidR="00E8781E">
        <w:t>”</w:t>
      </w:r>
      <w:r w:rsidR="00780B8C">
        <w:t>.</w:t>
      </w:r>
      <w:r w:rsidR="00377D2C" w:rsidRPr="0055311B">
        <w:t xml:space="preserve"> </w:t>
      </w:r>
      <w:r w:rsidR="007E2BFF">
        <w:t xml:space="preserve">“Mother-to-child” transmission is also problematic </w:t>
      </w:r>
      <w:r w:rsidR="00E8781E">
        <w:t xml:space="preserve">because it </w:t>
      </w:r>
      <w:r w:rsidR="0007363B">
        <w:t>is stigmatizing</w:t>
      </w:r>
      <w:r w:rsidR="007E2BFF">
        <w:t xml:space="preserve">. </w:t>
      </w:r>
      <w:r w:rsidR="00377D2C" w:rsidRPr="0055311B">
        <w:t>(A list of selected non-stigmatizing terms can be found in Appendix A.)</w:t>
      </w:r>
      <w:r w:rsidR="00377D2C">
        <w:t xml:space="preserve"> </w:t>
      </w:r>
    </w:p>
    <w:p w14:paraId="7A72E0F4" w14:textId="4B6737AC" w:rsidR="0043249F" w:rsidRPr="00273473" w:rsidRDefault="00A945F4" w:rsidP="00273473">
      <w:pPr>
        <w:pStyle w:val="CommentText"/>
        <w:ind w:left="720"/>
        <w:rPr>
          <w:sz w:val="22"/>
          <w:szCs w:val="22"/>
        </w:rPr>
      </w:pPr>
      <w:r w:rsidRPr="00377D2C">
        <w:rPr>
          <w:sz w:val="22"/>
          <w:szCs w:val="22"/>
        </w:rPr>
        <w:t>Laboratory values are another area of concern.</w:t>
      </w:r>
      <w:r>
        <w:rPr>
          <w:sz w:val="22"/>
          <w:szCs w:val="22"/>
        </w:rPr>
        <w:t xml:space="preserve"> Certain laboratory values may be </w:t>
      </w:r>
      <w:r w:rsidR="0043249F" w:rsidRPr="00273473">
        <w:rPr>
          <w:sz w:val="22"/>
          <w:szCs w:val="22"/>
        </w:rPr>
        <w:t>included in eligibility criteria</w:t>
      </w:r>
      <w:r>
        <w:rPr>
          <w:sz w:val="22"/>
          <w:szCs w:val="22"/>
        </w:rPr>
        <w:t xml:space="preserve">, such as </w:t>
      </w:r>
      <w:r w:rsidR="0043249F" w:rsidRPr="00273473">
        <w:rPr>
          <w:sz w:val="22"/>
          <w:szCs w:val="22"/>
        </w:rPr>
        <w:t>hemoglobin, creatinine, and some hepatic markers</w:t>
      </w:r>
      <w:r>
        <w:rPr>
          <w:sz w:val="22"/>
          <w:szCs w:val="22"/>
        </w:rPr>
        <w:t xml:space="preserve">, among others. </w:t>
      </w:r>
      <w:r w:rsidR="0043249F">
        <w:rPr>
          <w:sz w:val="22"/>
          <w:szCs w:val="22"/>
        </w:rPr>
        <w:t>G</w:t>
      </w:r>
      <w:r w:rsidR="0043249F" w:rsidRPr="00273473">
        <w:rPr>
          <w:sz w:val="22"/>
          <w:szCs w:val="22"/>
        </w:rPr>
        <w:t>ender-affirming hormone therapy</w:t>
      </w:r>
      <w:r>
        <w:rPr>
          <w:sz w:val="22"/>
          <w:szCs w:val="22"/>
        </w:rPr>
        <w:t>, however,</w:t>
      </w:r>
      <w:r w:rsidR="0043249F" w:rsidRPr="00273473">
        <w:rPr>
          <w:sz w:val="22"/>
          <w:szCs w:val="22"/>
        </w:rPr>
        <w:t xml:space="preserve"> can shift the “lab normal” ranges</w:t>
      </w:r>
      <w:r>
        <w:rPr>
          <w:sz w:val="22"/>
          <w:szCs w:val="22"/>
        </w:rPr>
        <w:t xml:space="preserve">, making </w:t>
      </w:r>
      <w:r w:rsidR="0043249F" w:rsidRPr="00273473">
        <w:rPr>
          <w:sz w:val="22"/>
          <w:szCs w:val="22"/>
        </w:rPr>
        <w:t>potential trans</w:t>
      </w:r>
      <w:r w:rsidR="0043249F">
        <w:rPr>
          <w:sz w:val="22"/>
          <w:szCs w:val="22"/>
        </w:rPr>
        <w:t xml:space="preserve">gender </w:t>
      </w:r>
      <w:r w:rsidR="0043249F" w:rsidRPr="00273473">
        <w:rPr>
          <w:sz w:val="22"/>
          <w:szCs w:val="22"/>
        </w:rPr>
        <w:t>participants ineligible by</w:t>
      </w:r>
      <w:r w:rsidR="0043249F">
        <w:rPr>
          <w:sz w:val="22"/>
          <w:szCs w:val="22"/>
        </w:rPr>
        <w:t xml:space="preserve"> virtue of having their</w:t>
      </w:r>
      <w:r w:rsidR="0043249F" w:rsidRPr="00273473">
        <w:rPr>
          <w:sz w:val="22"/>
          <w:szCs w:val="22"/>
        </w:rPr>
        <w:t xml:space="preserve"> lab values </w:t>
      </w:r>
      <w:r>
        <w:rPr>
          <w:sz w:val="22"/>
          <w:szCs w:val="22"/>
        </w:rPr>
        <w:t xml:space="preserve">evaluated according to </w:t>
      </w:r>
      <w:r w:rsidR="0043249F" w:rsidRPr="00273473">
        <w:rPr>
          <w:sz w:val="22"/>
          <w:szCs w:val="22"/>
        </w:rPr>
        <w:t xml:space="preserve">their sex assigned at birth rather than </w:t>
      </w:r>
      <w:r w:rsidR="00B15F8F">
        <w:rPr>
          <w:sz w:val="22"/>
          <w:szCs w:val="22"/>
        </w:rPr>
        <w:t xml:space="preserve">by </w:t>
      </w:r>
      <w:r w:rsidR="00642B35">
        <w:rPr>
          <w:sz w:val="22"/>
          <w:szCs w:val="22"/>
        </w:rPr>
        <w:t xml:space="preserve">their </w:t>
      </w:r>
      <w:r w:rsidR="0043249F" w:rsidRPr="00273473">
        <w:rPr>
          <w:sz w:val="22"/>
          <w:szCs w:val="22"/>
        </w:rPr>
        <w:t>gender</w:t>
      </w:r>
      <w:r w:rsidR="002F6983">
        <w:rPr>
          <w:sz w:val="22"/>
          <w:szCs w:val="22"/>
        </w:rPr>
        <w:t xml:space="preserve"> </w:t>
      </w:r>
      <w:r w:rsidR="0043249F" w:rsidRPr="00273473">
        <w:rPr>
          <w:sz w:val="22"/>
          <w:szCs w:val="22"/>
        </w:rPr>
        <w:t>identity.</w:t>
      </w:r>
    </w:p>
    <w:p w14:paraId="076E6402" w14:textId="7F1D7AEE" w:rsidR="00910052" w:rsidRDefault="00C63D40" w:rsidP="008D128D">
      <w:pPr>
        <w:pStyle w:val="CommentText"/>
        <w:ind w:left="720"/>
        <w:rPr>
          <w:sz w:val="22"/>
        </w:rPr>
      </w:pPr>
      <w:r>
        <w:rPr>
          <w:sz w:val="22"/>
          <w:szCs w:val="22"/>
        </w:rPr>
        <w:t>One example of laboratory</w:t>
      </w:r>
      <w:r w:rsidR="00A945F4">
        <w:rPr>
          <w:sz w:val="22"/>
          <w:szCs w:val="22"/>
        </w:rPr>
        <w:t xml:space="preserve"> </w:t>
      </w:r>
      <w:r>
        <w:rPr>
          <w:sz w:val="22"/>
          <w:szCs w:val="22"/>
        </w:rPr>
        <w:t>inclusi</w:t>
      </w:r>
      <w:r w:rsidR="00A945F4">
        <w:rPr>
          <w:sz w:val="22"/>
          <w:szCs w:val="22"/>
        </w:rPr>
        <w:t>ve</w:t>
      </w:r>
      <w:r>
        <w:rPr>
          <w:sz w:val="22"/>
          <w:szCs w:val="22"/>
        </w:rPr>
        <w:t xml:space="preserve"> values </w:t>
      </w:r>
      <w:r w:rsidR="00EA791F">
        <w:rPr>
          <w:sz w:val="22"/>
          <w:szCs w:val="22"/>
        </w:rPr>
        <w:t xml:space="preserve">is being </w:t>
      </w:r>
      <w:r>
        <w:rPr>
          <w:sz w:val="22"/>
          <w:szCs w:val="22"/>
        </w:rPr>
        <w:t xml:space="preserve">used in the </w:t>
      </w:r>
      <w:r w:rsidRPr="00273473">
        <w:rPr>
          <w:sz w:val="22"/>
          <w:szCs w:val="22"/>
        </w:rPr>
        <w:t>A</w:t>
      </w:r>
      <w:r>
        <w:rPr>
          <w:sz w:val="22"/>
          <w:szCs w:val="22"/>
        </w:rPr>
        <w:t xml:space="preserve">ntibody Mediated Prevention </w:t>
      </w:r>
      <w:r w:rsidRPr="00273473">
        <w:rPr>
          <w:sz w:val="22"/>
          <w:szCs w:val="22"/>
        </w:rPr>
        <w:t>Study (HVTN 704/HPTN 085)</w:t>
      </w:r>
      <w:r w:rsidR="00EA791F">
        <w:rPr>
          <w:sz w:val="22"/>
          <w:szCs w:val="22"/>
        </w:rPr>
        <w:t xml:space="preserve">: </w:t>
      </w:r>
      <w:r w:rsidRPr="008D128D">
        <w:rPr>
          <w:sz w:val="22"/>
        </w:rPr>
        <w:t>Hemoglobin</w:t>
      </w:r>
      <w:r w:rsidRPr="00EA791F">
        <w:rPr>
          <w:sz w:val="22"/>
        </w:rPr>
        <w:t xml:space="preserve"> </w:t>
      </w:r>
      <w:r w:rsidRPr="00273473">
        <w:rPr>
          <w:sz w:val="22"/>
        </w:rPr>
        <w:t>(Hgb) ≥ 10.5 g/dL for volunteers who were</w:t>
      </w:r>
      <w:r w:rsidR="00F23940">
        <w:rPr>
          <w:sz w:val="22"/>
        </w:rPr>
        <w:t xml:space="preserve"> assigned </w:t>
      </w:r>
      <w:r w:rsidRPr="00273473">
        <w:rPr>
          <w:sz w:val="22"/>
        </w:rPr>
        <w:t>female</w:t>
      </w:r>
      <w:r w:rsidR="00F23940">
        <w:rPr>
          <w:sz w:val="22"/>
        </w:rPr>
        <w:t xml:space="preserve"> at birth</w:t>
      </w:r>
      <w:r w:rsidRPr="00273473">
        <w:rPr>
          <w:sz w:val="22"/>
        </w:rPr>
        <w:t xml:space="preserve">, ≥ 13.0 g/dL for volunteers who were </w:t>
      </w:r>
      <w:r w:rsidR="00F23940">
        <w:rPr>
          <w:sz w:val="22"/>
        </w:rPr>
        <w:t xml:space="preserve">assigned </w:t>
      </w:r>
      <w:r w:rsidRPr="00273473">
        <w:rPr>
          <w:sz w:val="22"/>
        </w:rPr>
        <w:t xml:space="preserve">male </w:t>
      </w:r>
      <w:r w:rsidR="00F23940">
        <w:rPr>
          <w:sz w:val="22"/>
        </w:rPr>
        <w:t xml:space="preserve">at birth </w:t>
      </w:r>
      <w:r w:rsidRPr="00273473">
        <w:rPr>
          <w:sz w:val="22"/>
        </w:rPr>
        <w:t>(≥ 12.0 g/dL for transgender women taking feminizing hormones [e</w:t>
      </w:r>
      <w:r>
        <w:rPr>
          <w:sz w:val="22"/>
        </w:rPr>
        <w:t>.</w:t>
      </w:r>
      <w:r w:rsidRPr="00273473">
        <w:rPr>
          <w:sz w:val="22"/>
        </w:rPr>
        <w:t>g</w:t>
      </w:r>
      <w:r>
        <w:rPr>
          <w:sz w:val="22"/>
        </w:rPr>
        <w:t>.</w:t>
      </w:r>
      <w:r w:rsidRPr="00273473">
        <w:rPr>
          <w:sz w:val="22"/>
        </w:rPr>
        <w:t>, anti-androgens, estrogens])</w:t>
      </w:r>
      <w:r w:rsidR="00F86E3F">
        <w:rPr>
          <w:sz w:val="22"/>
        </w:rPr>
        <w:t>.</w:t>
      </w:r>
    </w:p>
    <w:p w14:paraId="25E6F741" w14:textId="77777777" w:rsidR="008D128D" w:rsidRPr="005B4637" w:rsidRDefault="008D128D" w:rsidP="008D128D">
      <w:pPr>
        <w:ind w:left="720"/>
        <w:rPr>
          <w:b/>
        </w:rPr>
      </w:pPr>
      <w:r w:rsidRPr="005B4637">
        <w:rPr>
          <w:b/>
        </w:rPr>
        <w:t xml:space="preserve">For each study, the protocol team should carefully consider how eligibility lab values are stated and whether they can be differentiated by factors such as gender identity, sex assigned at birth, and hormone use to facilitate the inclusion of transgender participants. </w:t>
      </w:r>
    </w:p>
    <w:p w14:paraId="7BD82274" w14:textId="1D8BDC71" w:rsidR="00910052" w:rsidRDefault="0043249F" w:rsidP="005B4637">
      <w:pPr>
        <w:ind w:left="720"/>
      </w:pPr>
      <w:r w:rsidRPr="00273473">
        <w:t>Even after enrollment</w:t>
      </w:r>
      <w:r w:rsidR="00B15F8F">
        <w:t xml:space="preserve"> is complete</w:t>
      </w:r>
      <w:r w:rsidRPr="00273473">
        <w:t>, clinical trials may be in a unique position to contribute to the limited information on true “lab normal” ranges in persons taking exogenous, gender-affirming hormone therapy</w:t>
      </w:r>
      <w:r w:rsidR="00B15F8F" w:rsidRPr="00B15F8F">
        <w:t xml:space="preserve"> </w:t>
      </w:r>
      <w:r w:rsidR="00B15F8F">
        <w:t>when reporting study data</w:t>
      </w:r>
      <w:r w:rsidR="009A3FB9">
        <w:t xml:space="preserve">. </w:t>
      </w:r>
    </w:p>
    <w:p w14:paraId="37EA8E49" w14:textId="40C311B3" w:rsidR="00560776" w:rsidRDefault="00CE79B7" w:rsidP="000B7480">
      <w:pPr>
        <w:pStyle w:val="ListParagraph"/>
        <w:numPr>
          <w:ilvl w:val="0"/>
          <w:numId w:val="14"/>
        </w:numPr>
      </w:pPr>
      <w:r w:rsidRPr="005B4637">
        <w:rPr>
          <w:b/>
          <w:u w:val="single"/>
        </w:rPr>
        <w:t>Demographic data</w:t>
      </w:r>
      <w:r w:rsidR="00670DA7" w:rsidRPr="005B4637">
        <w:rPr>
          <w:b/>
          <w:u w:val="single"/>
        </w:rPr>
        <w:t xml:space="preserve"> collection</w:t>
      </w:r>
      <w:r w:rsidRPr="005B4637">
        <w:rPr>
          <w:b/>
        </w:rPr>
        <w:t xml:space="preserve"> –</w:t>
      </w:r>
      <w:r w:rsidR="002E642F" w:rsidRPr="005B4637">
        <w:rPr>
          <w:b/>
        </w:rPr>
        <w:t xml:space="preserve"> As per the recommendation from the DAIDS Cross-Network Transgender Working Group and generally accepted best practices,</w:t>
      </w:r>
      <w:r w:rsidR="0044409C" w:rsidRPr="0007363B">
        <w:rPr>
          <w:rStyle w:val="FootnoteReference"/>
          <w:b/>
        </w:rPr>
        <w:footnoteReference w:id="5"/>
      </w:r>
      <w:r w:rsidR="002E642F" w:rsidRPr="005B4637">
        <w:rPr>
          <w:b/>
        </w:rPr>
        <w:t xml:space="preserve"> the NIH</w:t>
      </w:r>
      <w:r w:rsidR="00FF1CA4" w:rsidRPr="005B4637">
        <w:rPr>
          <w:b/>
        </w:rPr>
        <w:t>-</w:t>
      </w:r>
      <w:r w:rsidR="001F6D13" w:rsidRPr="005B4637">
        <w:rPr>
          <w:b/>
        </w:rPr>
        <w:t xml:space="preserve">funded HIV/AIDS clinical </w:t>
      </w:r>
      <w:r w:rsidR="001F6D13" w:rsidRPr="005B4637">
        <w:rPr>
          <w:b/>
        </w:rPr>
        <w:lastRenderedPageBreak/>
        <w:t>trials</w:t>
      </w:r>
      <w:r w:rsidR="00556AD9" w:rsidRPr="005B4637">
        <w:rPr>
          <w:b/>
        </w:rPr>
        <w:t xml:space="preserve"> networks</w:t>
      </w:r>
      <w:r w:rsidR="001F6D13" w:rsidRPr="005B4637">
        <w:rPr>
          <w:b/>
        </w:rPr>
        <w:t xml:space="preserve"> </w:t>
      </w:r>
      <w:r w:rsidR="002E642F" w:rsidRPr="005B4637">
        <w:rPr>
          <w:b/>
        </w:rPr>
        <w:t xml:space="preserve">should </w:t>
      </w:r>
      <w:r w:rsidR="00EE48D1" w:rsidRPr="005B4637">
        <w:rPr>
          <w:b/>
        </w:rPr>
        <w:t>always</w:t>
      </w:r>
      <w:r w:rsidR="002E642F" w:rsidRPr="005B4637">
        <w:rPr>
          <w:b/>
        </w:rPr>
        <w:t xml:space="preserve"> </w:t>
      </w:r>
      <w:r w:rsidR="001F6D13" w:rsidRPr="005B4637">
        <w:rPr>
          <w:b/>
        </w:rPr>
        <w:t>collect</w:t>
      </w:r>
      <w:r w:rsidR="002E642F" w:rsidRPr="005B4637">
        <w:rPr>
          <w:b/>
        </w:rPr>
        <w:t xml:space="preserve"> </w:t>
      </w:r>
      <w:r w:rsidR="001F6D13" w:rsidRPr="005B4637">
        <w:rPr>
          <w:b/>
        </w:rPr>
        <w:t xml:space="preserve">data on </w:t>
      </w:r>
      <w:r w:rsidR="00582C73" w:rsidRPr="005B4637">
        <w:rPr>
          <w:b/>
        </w:rPr>
        <w:t xml:space="preserve">study participants’ </w:t>
      </w:r>
      <w:r w:rsidR="001F6D13" w:rsidRPr="005B4637">
        <w:rPr>
          <w:b/>
        </w:rPr>
        <w:t>gender identit</w:t>
      </w:r>
      <w:r w:rsidR="00EE48D1" w:rsidRPr="005B4637">
        <w:rPr>
          <w:b/>
        </w:rPr>
        <w:t>y</w:t>
      </w:r>
      <w:r w:rsidR="00582C73" w:rsidRPr="005B4637">
        <w:rPr>
          <w:b/>
        </w:rPr>
        <w:t xml:space="preserve"> and sex assigned at birth using the two-step method</w:t>
      </w:r>
      <w:r w:rsidR="00B15F8F">
        <w:rPr>
          <w:b/>
        </w:rPr>
        <w:t>,</w:t>
      </w:r>
      <w:r w:rsidR="007E7BC6" w:rsidRPr="005B4637">
        <w:rPr>
          <w:b/>
        </w:rPr>
        <w:t xml:space="preserve"> </w:t>
      </w:r>
      <w:r w:rsidR="001F6D13" w:rsidRPr="005B4637">
        <w:rPr>
          <w:b/>
        </w:rPr>
        <w:t>unless there is</w:t>
      </w:r>
      <w:r w:rsidR="0029401F" w:rsidRPr="005B4637">
        <w:rPr>
          <w:b/>
        </w:rPr>
        <w:t xml:space="preserve"> concern of </w:t>
      </w:r>
      <w:r w:rsidR="001F6D13" w:rsidRPr="005B4637">
        <w:rPr>
          <w:b/>
        </w:rPr>
        <w:t>undue discrimination, stigma</w:t>
      </w:r>
      <w:r w:rsidR="004B3A32" w:rsidRPr="005B4637">
        <w:rPr>
          <w:b/>
        </w:rPr>
        <w:t>,</w:t>
      </w:r>
      <w:r w:rsidR="001F6D13" w:rsidRPr="005B4637">
        <w:rPr>
          <w:b/>
        </w:rPr>
        <w:t xml:space="preserve"> and/or harm.</w:t>
      </w:r>
      <w:r w:rsidR="007E7BC6" w:rsidRPr="005B4637">
        <w:rPr>
          <w:b/>
        </w:rPr>
        <w:t xml:space="preserve"> </w:t>
      </w:r>
      <w:r w:rsidR="007E7BC6">
        <w:t>(</w:t>
      </w:r>
      <w:r w:rsidR="00905882">
        <w:t>S</w:t>
      </w:r>
      <w:r w:rsidR="007E7BC6">
        <w:t xml:space="preserve">ee Appendix </w:t>
      </w:r>
      <w:r w:rsidR="00A13AE8">
        <w:t>B</w:t>
      </w:r>
      <w:r w:rsidR="00377D2C">
        <w:t xml:space="preserve"> </w:t>
      </w:r>
      <w:r w:rsidR="007E7BC6">
        <w:t xml:space="preserve">for </w:t>
      </w:r>
      <w:r w:rsidR="00601930">
        <w:t xml:space="preserve">a </w:t>
      </w:r>
      <w:r w:rsidR="007E7BC6">
        <w:t>description of</w:t>
      </w:r>
      <w:r w:rsidR="006B123F">
        <w:t xml:space="preserve"> the</w:t>
      </w:r>
      <w:r w:rsidR="007E7BC6">
        <w:t xml:space="preserve"> </w:t>
      </w:r>
      <w:hyperlink r:id="rId13" w:history="1">
        <w:r w:rsidR="007E7BC6" w:rsidRPr="002340B2">
          <w:rPr>
            <w:rStyle w:val="Hyperlink"/>
          </w:rPr>
          <w:t>two-step method</w:t>
        </w:r>
      </w:hyperlink>
      <w:r w:rsidR="007E7BC6">
        <w:t>)</w:t>
      </w:r>
      <w:r w:rsidR="001F6D13">
        <w:t xml:space="preserve"> </w:t>
      </w:r>
      <w:r w:rsidR="00770FB7">
        <w:t xml:space="preserve">Accurate collection of gender identity avoids </w:t>
      </w:r>
      <w:r w:rsidR="00020795">
        <w:t xml:space="preserve">incorrectly </w:t>
      </w:r>
      <w:r w:rsidR="00770FB7">
        <w:t>categorizing transgender individuals as cisgender men or cisgender women</w:t>
      </w:r>
      <w:r w:rsidR="009507B0">
        <w:t xml:space="preserve">; </w:t>
      </w:r>
      <w:r w:rsidR="00770FB7">
        <w:t>prevents marginalization of transgender people</w:t>
      </w:r>
      <w:r w:rsidR="009507B0">
        <w:t>;</w:t>
      </w:r>
      <w:r w:rsidR="004B3C1B">
        <w:t xml:space="preserve"> </w:t>
      </w:r>
      <w:r w:rsidR="00770FB7">
        <w:t xml:space="preserve">and </w:t>
      </w:r>
      <w:r w:rsidR="004033C1">
        <w:t xml:space="preserve">advances scientific knowledge </w:t>
      </w:r>
      <w:r w:rsidR="00770FB7">
        <w:t xml:space="preserve">about the impact </w:t>
      </w:r>
      <w:r w:rsidR="00BD4A6C">
        <w:t xml:space="preserve">of </w:t>
      </w:r>
      <w:r w:rsidR="00770FB7">
        <w:t>hormon</w:t>
      </w:r>
      <w:r w:rsidR="00AE5E78">
        <w:t>e</w:t>
      </w:r>
      <w:r w:rsidR="00770FB7">
        <w:t xml:space="preserve"> therapy, gender-affirming body modifications, and social/structural factors </w:t>
      </w:r>
      <w:r w:rsidR="00BD4A6C">
        <w:t>on</w:t>
      </w:r>
      <w:r w:rsidR="00770FB7">
        <w:t xml:space="preserve"> HIV cure, treatment</w:t>
      </w:r>
      <w:r w:rsidR="004B3C1B">
        <w:t>,</w:t>
      </w:r>
      <w:r w:rsidR="00770FB7">
        <w:t xml:space="preserve"> and/or prevention interventions. </w:t>
      </w:r>
    </w:p>
    <w:p w14:paraId="6A8FC995" w14:textId="77777777" w:rsidR="002E642F" w:rsidRDefault="002E642F" w:rsidP="001675DD">
      <w:pPr>
        <w:pStyle w:val="ListParagraph"/>
      </w:pPr>
    </w:p>
    <w:p w14:paraId="7870F895" w14:textId="7F2D21A5" w:rsidR="00C714E6" w:rsidRPr="005B4637" w:rsidRDefault="00C714E6" w:rsidP="00C714E6">
      <w:pPr>
        <w:pStyle w:val="ListParagraph"/>
        <w:rPr>
          <w:color w:val="FF0000"/>
        </w:rPr>
      </w:pPr>
      <w:r>
        <w:t>Furthermore, w</w:t>
      </w:r>
      <w:r w:rsidR="00CF1AEC">
        <w:t>hile gender identity is typically collected on</w:t>
      </w:r>
      <w:r>
        <w:t>ly</w:t>
      </w:r>
      <w:r w:rsidR="00CF1AEC">
        <w:t xml:space="preserve"> at baseline, it may be valuable to gather information on gender identity using the two-step method at the time of enrollment AND at later points in the trial.  During </w:t>
      </w:r>
      <w:r w:rsidR="00AE5E78">
        <w:t xml:space="preserve">the conduct of </w:t>
      </w:r>
      <w:r w:rsidR="00CF1AEC">
        <w:t xml:space="preserve">HVTN 505, </w:t>
      </w:r>
      <w:r>
        <w:t xml:space="preserve">for example, </w:t>
      </w:r>
      <w:r w:rsidR="00CF1AEC">
        <w:t xml:space="preserve">approximately 10-15 percent of all transgender participants did not initially identify as </w:t>
      </w:r>
      <w:r w:rsidR="00CF1AEC" w:rsidRPr="0055311B">
        <w:t xml:space="preserve">transgender but </w:t>
      </w:r>
      <w:r w:rsidR="00A13AE8" w:rsidRPr="0055311B">
        <w:t xml:space="preserve">for a variety of reasons </w:t>
      </w:r>
      <w:r w:rsidR="00CF1AEC" w:rsidRPr="0055311B">
        <w:t>did</w:t>
      </w:r>
      <w:r w:rsidR="00CF1AEC">
        <w:t xml:space="preserve"> so later in the trial.</w:t>
      </w:r>
      <w:r>
        <w:t xml:space="preserve">  </w:t>
      </w:r>
      <w:r w:rsidRPr="005B4637">
        <w:rPr>
          <w:b/>
        </w:rPr>
        <w:t xml:space="preserve">Given that gender identity is often fluid, </w:t>
      </w:r>
      <w:r w:rsidR="00AE5E78">
        <w:rPr>
          <w:b/>
        </w:rPr>
        <w:t>and that participants may not be comfortable disclosing thei</w:t>
      </w:r>
      <w:r w:rsidR="00D71F1D">
        <w:rPr>
          <w:b/>
        </w:rPr>
        <w:t xml:space="preserve">r identity to a staff member with whom they do not yet have a trusting relationship, </w:t>
      </w:r>
      <w:r w:rsidRPr="005B4637">
        <w:rPr>
          <w:b/>
        </w:rPr>
        <w:t>the protocol team should make an informed decision based on the objectives and population for that specific study</w:t>
      </w:r>
      <w:r w:rsidR="00B15F8F">
        <w:rPr>
          <w:b/>
        </w:rPr>
        <w:t>,</w:t>
      </w:r>
      <w:r w:rsidRPr="005B4637">
        <w:rPr>
          <w:b/>
        </w:rPr>
        <w:t xml:space="preserve"> and </w:t>
      </w:r>
      <w:r w:rsidR="00B15F8F">
        <w:rPr>
          <w:b/>
        </w:rPr>
        <w:t xml:space="preserve">should </w:t>
      </w:r>
      <w:r w:rsidRPr="005B4637">
        <w:rPr>
          <w:b/>
        </w:rPr>
        <w:t xml:space="preserve">carefully consider whether to collect gender identity data </w:t>
      </w:r>
      <w:r w:rsidR="00AE5E78">
        <w:rPr>
          <w:b/>
        </w:rPr>
        <w:t xml:space="preserve">at timepoints </w:t>
      </w:r>
      <w:r w:rsidRPr="005B4637">
        <w:rPr>
          <w:b/>
        </w:rPr>
        <w:t>beyond baseline.</w:t>
      </w:r>
      <w:r w:rsidRPr="005B4637">
        <w:t xml:space="preserve"> </w:t>
      </w:r>
      <w:r w:rsidRPr="005B4637">
        <w:rPr>
          <w:color w:val="FF0000"/>
        </w:rPr>
        <w:t xml:space="preserve"> </w:t>
      </w:r>
    </w:p>
    <w:p w14:paraId="6F0C1DDA" w14:textId="1441A9CF" w:rsidR="002E642F" w:rsidRDefault="002E642F" w:rsidP="002E642F">
      <w:pPr>
        <w:rPr>
          <w:u w:val="single"/>
        </w:rPr>
      </w:pPr>
      <w:bookmarkStart w:id="1" w:name="_Hlk17803465"/>
      <w:r w:rsidRPr="002E642F">
        <w:rPr>
          <w:b/>
          <w:u w:val="single"/>
        </w:rPr>
        <w:t xml:space="preserve">Accuracy of Language in Data Reporting and </w:t>
      </w:r>
      <w:r w:rsidR="00CE79B7" w:rsidRPr="002E642F">
        <w:rPr>
          <w:b/>
          <w:u w:val="single"/>
        </w:rPr>
        <w:t>Analys</w:t>
      </w:r>
      <w:r w:rsidR="00C13BAA">
        <w:rPr>
          <w:b/>
          <w:u w:val="single"/>
        </w:rPr>
        <w:t>e</w:t>
      </w:r>
      <w:r w:rsidR="00CE79B7" w:rsidRPr="002E642F">
        <w:rPr>
          <w:b/>
          <w:u w:val="single"/>
        </w:rPr>
        <w:t>s</w:t>
      </w:r>
    </w:p>
    <w:bookmarkEnd w:id="1"/>
    <w:p w14:paraId="74E96B9D" w14:textId="77A9E9F3" w:rsidR="002E642F" w:rsidRDefault="00FE5C68" w:rsidP="002E642F">
      <w:r w:rsidRPr="00AD2BB1">
        <w:t>The NIH Revitalization Act of 1993 strongly encourages sex differences to be reported in results for all NIH-funded clinical research study publications.</w:t>
      </w:r>
      <w:r>
        <w:t xml:space="preserve"> </w:t>
      </w:r>
      <w:r w:rsidR="00E8621C" w:rsidRPr="005B4637">
        <w:rPr>
          <w:b/>
        </w:rPr>
        <w:t>G</w:t>
      </w:r>
      <w:r w:rsidR="00437F33" w:rsidRPr="005B4637">
        <w:rPr>
          <w:b/>
        </w:rPr>
        <w:t xml:space="preserve">iven that </w:t>
      </w:r>
      <w:r w:rsidRPr="005B4637">
        <w:rPr>
          <w:b/>
        </w:rPr>
        <w:t>the NIH-funded HIV/AIDS clinical trials networks</w:t>
      </w:r>
      <w:r w:rsidR="00437F33" w:rsidRPr="005B4637">
        <w:rPr>
          <w:b/>
        </w:rPr>
        <w:t xml:space="preserve"> now collect</w:t>
      </w:r>
      <w:r w:rsidR="00CE79B7" w:rsidRPr="005B4637">
        <w:rPr>
          <w:b/>
        </w:rPr>
        <w:t xml:space="preserve"> data on gender identity and sex</w:t>
      </w:r>
      <w:r w:rsidR="00397717" w:rsidRPr="005B4637">
        <w:rPr>
          <w:b/>
        </w:rPr>
        <w:t xml:space="preserve"> assigned at birth</w:t>
      </w:r>
      <w:r w:rsidR="00437F33" w:rsidRPr="005B4637">
        <w:rPr>
          <w:b/>
        </w:rPr>
        <w:t>, it is important</w:t>
      </w:r>
      <w:r w:rsidRPr="005B4637">
        <w:rPr>
          <w:b/>
        </w:rPr>
        <w:t xml:space="preserve"> to report differences associated with gender identity and sex assigned at birth in study results</w:t>
      </w:r>
      <w:r w:rsidR="004B3C1B" w:rsidRPr="005B4637">
        <w:rPr>
          <w:b/>
        </w:rPr>
        <w:t xml:space="preserve"> when the data are </w:t>
      </w:r>
      <w:r w:rsidR="00880550" w:rsidRPr="005B4637">
        <w:rPr>
          <w:b/>
        </w:rPr>
        <w:t xml:space="preserve">published and </w:t>
      </w:r>
      <w:r w:rsidR="004B3C1B" w:rsidRPr="005B4637">
        <w:rPr>
          <w:b/>
        </w:rPr>
        <w:t>presented</w:t>
      </w:r>
      <w:r w:rsidRPr="005B4637">
        <w:rPr>
          <w:b/>
        </w:rPr>
        <w:t>. Reporting these results begins with reporting</w:t>
      </w:r>
      <w:r w:rsidR="00437F33" w:rsidRPr="005B4637">
        <w:rPr>
          <w:b/>
        </w:rPr>
        <w:t xml:space="preserve"> the number </w:t>
      </w:r>
      <w:r w:rsidRPr="005B4637">
        <w:rPr>
          <w:b/>
        </w:rPr>
        <w:t xml:space="preserve">of </w:t>
      </w:r>
      <w:r w:rsidR="00CE79B7" w:rsidRPr="005B4637">
        <w:rPr>
          <w:b/>
        </w:rPr>
        <w:t xml:space="preserve">transgender </w:t>
      </w:r>
      <w:r w:rsidR="00437F33" w:rsidRPr="005B4637">
        <w:rPr>
          <w:b/>
        </w:rPr>
        <w:t xml:space="preserve">participants </w:t>
      </w:r>
      <w:r w:rsidR="00CE79B7" w:rsidRPr="005B4637">
        <w:rPr>
          <w:b/>
        </w:rPr>
        <w:t xml:space="preserve">enrolled in </w:t>
      </w:r>
      <w:r w:rsidR="00437F33" w:rsidRPr="005B4637">
        <w:rPr>
          <w:b/>
        </w:rPr>
        <w:t xml:space="preserve">a </w:t>
      </w:r>
      <w:r w:rsidR="00CE79B7" w:rsidRPr="005B4637">
        <w:rPr>
          <w:b/>
        </w:rPr>
        <w:t>study</w:t>
      </w:r>
      <w:r w:rsidRPr="005B4637">
        <w:rPr>
          <w:b/>
        </w:rPr>
        <w:t>—even if that number is zero</w:t>
      </w:r>
      <w:r w:rsidR="00CE79B7" w:rsidRPr="005B4637">
        <w:rPr>
          <w:b/>
        </w:rPr>
        <w:t>.</w:t>
      </w:r>
      <w:r w:rsidR="00CE79B7">
        <w:t xml:space="preserve"> If </w:t>
      </w:r>
      <w:r w:rsidR="00437F33">
        <w:t>there are</w:t>
      </w:r>
      <w:r w:rsidR="00CE79B7">
        <w:t xml:space="preserve"> too few </w:t>
      </w:r>
      <w:r>
        <w:t xml:space="preserve">transgender participants </w:t>
      </w:r>
      <w:r w:rsidR="00CE79B7">
        <w:t xml:space="preserve">to support </w:t>
      </w:r>
      <w:r w:rsidR="00437F33">
        <w:t xml:space="preserve">specific </w:t>
      </w:r>
      <w:r w:rsidR="00CE79B7">
        <w:t>analys</w:t>
      </w:r>
      <w:r w:rsidR="00437F33">
        <w:t>es, that</w:t>
      </w:r>
      <w:r w:rsidR="00CE79B7">
        <w:t xml:space="preserve"> can be noted</w:t>
      </w:r>
      <w:r w:rsidR="00437F33">
        <w:t xml:space="preserve"> </w:t>
      </w:r>
      <w:r w:rsidR="00D71F1D">
        <w:t xml:space="preserve">as a limitation </w:t>
      </w:r>
      <w:r w:rsidR="00437F33">
        <w:t>when the results are reported</w:t>
      </w:r>
      <w:r w:rsidR="00CE79B7">
        <w:t xml:space="preserve">. </w:t>
      </w:r>
      <w:r w:rsidR="004B3C1B">
        <w:t>A</w:t>
      </w:r>
      <w:r w:rsidR="001F6D13">
        <w:t>cknowledg</w:t>
      </w:r>
      <w:r w:rsidR="004B3C1B">
        <w:t xml:space="preserve">ing </w:t>
      </w:r>
      <w:r w:rsidR="001F6D13">
        <w:t xml:space="preserve">the number of transgender </w:t>
      </w:r>
      <w:r w:rsidR="00437F33">
        <w:t xml:space="preserve">individuals in </w:t>
      </w:r>
      <w:r>
        <w:t>studies</w:t>
      </w:r>
      <w:r w:rsidR="001F6D13">
        <w:t xml:space="preserve"> </w:t>
      </w:r>
      <w:r w:rsidR="004B3C1B">
        <w:t xml:space="preserve">will help </w:t>
      </w:r>
      <w:r w:rsidR="005843B7">
        <w:t xml:space="preserve">identify </w:t>
      </w:r>
      <w:r w:rsidR="00437F33">
        <w:t>gaps in study participation</w:t>
      </w:r>
      <w:r w:rsidR="00AF782C">
        <w:t>,</w:t>
      </w:r>
      <w:r w:rsidR="00437F33">
        <w:t xml:space="preserve"> </w:t>
      </w:r>
      <w:r w:rsidR="002116EF">
        <w:t xml:space="preserve">and possible study outcomes </w:t>
      </w:r>
      <w:r w:rsidR="00437F33">
        <w:t xml:space="preserve">and the reasons for </w:t>
      </w:r>
      <w:r w:rsidR="007D3509">
        <w:t>them</w:t>
      </w:r>
      <w:r w:rsidR="00437F33">
        <w:t xml:space="preserve">. </w:t>
      </w:r>
    </w:p>
    <w:p w14:paraId="47A8C50C" w14:textId="0CA159F5" w:rsidR="004B3C1B" w:rsidRDefault="001339F2" w:rsidP="004B785C">
      <w:pPr>
        <w:autoSpaceDE w:val="0"/>
        <w:autoSpaceDN w:val="0"/>
        <w:adjustRightInd w:val="0"/>
        <w:spacing w:after="0" w:line="240" w:lineRule="auto"/>
        <w:rPr>
          <w:rFonts w:cstheme="minorHAnsi"/>
        </w:rPr>
      </w:pPr>
      <w:r w:rsidRPr="004B785C">
        <w:rPr>
          <w:rFonts w:cstheme="minorHAnsi"/>
        </w:rPr>
        <w:t xml:space="preserve">In a recent Lancet HIV article </w:t>
      </w:r>
      <w:r w:rsidRPr="00FD525B">
        <w:rPr>
          <w:rFonts w:cstheme="minorHAnsi"/>
        </w:rPr>
        <w:t>“Transgender HIV research: nothing about us without us</w:t>
      </w:r>
      <w:r w:rsidR="00880550">
        <w:rPr>
          <w:rFonts w:cstheme="minorHAnsi"/>
        </w:rPr>
        <w:t>,</w:t>
      </w:r>
      <w:r w:rsidRPr="004B785C">
        <w:rPr>
          <w:rFonts w:cstheme="minorHAnsi"/>
        </w:rPr>
        <w:t>”</w:t>
      </w:r>
      <w:r w:rsidR="00800B29">
        <w:rPr>
          <w:rStyle w:val="FootnoteReference"/>
          <w:rFonts w:cstheme="minorHAnsi"/>
        </w:rPr>
        <w:footnoteReference w:id="6"/>
      </w:r>
      <w:r w:rsidRPr="00FD525B">
        <w:rPr>
          <w:rFonts w:cstheme="minorHAnsi"/>
        </w:rPr>
        <w:t xml:space="preserve"> the authors</w:t>
      </w:r>
      <w:bookmarkStart w:id="2" w:name="bau10"/>
      <w:bookmarkStart w:id="3" w:name="bau20"/>
      <w:bookmarkStart w:id="4" w:name="bau30"/>
      <w:bookmarkStart w:id="5" w:name="bau40"/>
      <w:bookmarkStart w:id="6" w:name="bau50"/>
      <w:bookmarkStart w:id="7" w:name="bau60"/>
      <w:bookmarkStart w:id="8" w:name="bau70"/>
      <w:bookmarkEnd w:id="2"/>
      <w:bookmarkEnd w:id="3"/>
      <w:bookmarkEnd w:id="4"/>
      <w:bookmarkEnd w:id="5"/>
      <w:bookmarkEnd w:id="6"/>
      <w:bookmarkEnd w:id="7"/>
      <w:bookmarkEnd w:id="8"/>
      <w:r w:rsidRPr="00FD525B">
        <w:rPr>
          <w:rFonts w:cstheme="minorHAnsi"/>
        </w:rPr>
        <w:t xml:space="preserve"> </w:t>
      </w:r>
      <w:r w:rsidR="004B785C" w:rsidRPr="00FD525B">
        <w:rPr>
          <w:rFonts w:cstheme="minorHAnsi"/>
        </w:rPr>
        <w:t>reflected on the lack o</w:t>
      </w:r>
      <w:r w:rsidR="002116EF">
        <w:rPr>
          <w:rFonts w:cstheme="minorHAnsi"/>
        </w:rPr>
        <w:t>f</w:t>
      </w:r>
      <w:r w:rsidR="004B785C" w:rsidRPr="00FD525B">
        <w:rPr>
          <w:rFonts w:cstheme="minorHAnsi"/>
        </w:rPr>
        <w:t xml:space="preserve"> inclusion of transgender scientists and researchers at the 2019 International AIDS Society </w:t>
      </w:r>
      <w:r w:rsidR="00AD2BB1">
        <w:rPr>
          <w:rFonts w:cstheme="minorHAnsi"/>
        </w:rPr>
        <w:t xml:space="preserve">(IAS) </w:t>
      </w:r>
      <w:r w:rsidR="00624132" w:rsidRPr="00FD525B">
        <w:rPr>
          <w:rFonts w:cstheme="minorHAnsi"/>
        </w:rPr>
        <w:t>conference</w:t>
      </w:r>
      <w:r w:rsidR="00624132">
        <w:rPr>
          <w:rFonts w:cstheme="minorHAnsi"/>
        </w:rPr>
        <w:t xml:space="preserve"> and</w:t>
      </w:r>
      <w:r w:rsidR="00AD2BB1">
        <w:rPr>
          <w:rFonts w:cstheme="minorHAnsi"/>
        </w:rPr>
        <w:t xml:space="preserve"> took issue with the way in which data were reported. While they were making specific recommendations for IAS, they make important points that </w:t>
      </w:r>
      <w:r w:rsidR="004B3C1B">
        <w:rPr>
          <w:rFonts w:cstheme="minorHAnsi"/>
        </w:rPr>
        <w:t xml:space="preserve">are relevant to </w:t>
      </w:r>
      <w:r w:rsidR="00AD2BB1">
        <w:rPr>
          <w:rFonts w:cstheme="minorHAnsi"/>
        </w:rPr>
        <w:t>NIH-funded clinical HIV research.  For example, they note</w:t>
      </w:r>
      <w:r w:rsidR="002116EF">
        <w:rPr>
          <w:rFonts w:cstheme="minorHAnsi"/>
        </w:rPr>
        <w:t>d</w:t>
      </w:r>
      <w:r w:rsidR="00AD2BB1">
        <w:rPr>
          <w:rFonts w:cstheme="minorHAnsi"/>
        </w:rPr>
        <w:t xml:space="preserve"> the following:</w:t>
      </w:r>
    </w:p>
    <w:p w14:paraId="53506C2F" w14:textId="500E1782" w:rsidR="004B785C" w:rsidRPr="00FD525B" w:rsidRDefault="00AD2BB1" w:rsidP="004B785C">
      <w:pPr>
        <w:autoSpaceDE w:val="0"/>
        <w:autoSpaceDN w:val="0"/>
        <w:adjustRightInd w:val="0"/>
        <w:spacing w:after="0" w:line="240" w:lineRule="auto"/>
        <w:rPr>
          <w:rFonts w:cstheme="minorHAnsi"/>
        </w:rPr>
      </w:pPr>
      <w:r>
        <w:rPr>
          <w:rFonts w:cstheme="minorHAnsi"/>
        </w:rPr>
        <w:t xml:space="preserve"> </w:t>
      </w:r>
    </w:p>
    <w:p w14:paraId="40529F00" w14:textId="309C29A3" w:rsidR="001339F2" w:rsidRPr="00FD525B" w:rsidRDefault="004B785C" w:rsidP="004B785C">
      <w:pPr>
        <w:autoSpaceDE w:val="0"/>
        <w:autoSpaceDN w:val="0"/>
        <w:adjustRightInd w:val="0"/>
        <w:spacing w:after="0" w:line="240" w:lineRule="auto"/>
        <w:ind w:left="720"/>
        <w:rPr>
          <w:rFonts w:cstheme="minorHAnsi"/>
          <w:i/>
        </w:rPr>
      </w:pPr>
      <w:r w:rsidRPr="00FD525B">
        <w:rPr>
          <w:rFonts w:cstheme="minorHAnsi"/>
          <w:i/>
        </w:rPr>
        <w:t>“Responding to calls for disaggregation of transgender women in studies of men who have sex with men, abstract titles increasingly refer to men who have sex with men and transgender women. Such inclusion is often only nominal; at the 2019 IAS meeting, 51 abstracts mentioned transgender people in the title. Of these, only 34 disaggregated data for transgender participants from cisgender participants or were exclusively about transgender people. Further, transgender status does not constitute a behavioural risk for HIV. Trans people can be lesbian, gay, bisexual, queer, asexual, or heterosexual; a substantial number of trans women are at little risk of HIV because they are sexually inactive or sexually active with cisgender women, whereas a large number of trans men are at risk of HIV, because they are sexually active with cisgender men. Yet, only six abstracts at IAS 2019 specified the risk group to which transgender study participants belonged.”</w:t>
      </w:r>
    </w:p>
    <w:p w14:paraId="5885868D" w14:textId="77777777" w:rsidR="004B785C" w:rsidRPr="00FD525B" w:rsidRDefault="004B785C" w:rsidP="00FD525B">
      <w:pPr>
        <w:autoSpaceDE w:val="0"/>
        <w:autoSpaceDN w:val="0"/>
        <w:adjustRightInd w:val="0"/>
        <w:spacing w:after="0" w:line="240" w:lineRule="auto"/>
        <w:ind w:left="720"/>
        <w:rPr>
          <w:rFonts w:cstheme="minorHAnsi"/>
          <w:sz w:val="24"/>
          <w:szCs w:val="24"/>
        </w:rPr>
      </w:pPr>
    </w:p>
    <w:p w14:paraId="3E18D76F" w14:textId="5A44988D" w:rsidR="003B03AA" w:rsidRDefault="004B785C" w:rsidP="002E642F">
      <w:r>
        <w:t>This</w:t>
      </w:r>
      <w:r w:rsidR="00EE48D1">
        <w:t xml:space="preserve"> article</w:t>
      </w:r>
      <w:r>
        <w:t xml:space="preserve"> underscores the importance of not only collecting </w:t>
      </w:r>
      <w:r w:rsidR="00C13BAA">
        <w:t xml:space="preserve">data on </w:t>
      </w:r>
      <w:r>
        <w:t>participant</w:t>
      </w:r>
      <w:r w:rsidR="002116EF">
        <w:t>s’</w:t>
      </w:r>
      <w:r>
        <w:t xml:space="preserve"> gender identity, but the need to report </w:t>
      </w:r>
      <w:r w:rsidR="002116EF">
        <w:t xml:space="preserve">on it </w:t>
      </w:r>
      <w:r w:rsidR="00AD2BB1">
        <w:t xml:space="preserve">accurately </w:t>
      </w:r>
      <w:r>
        <w:t>as well</w:t>
      </w:r>
      <w:r w:rsidR="00624132">
        <w:t xml:space="preserve">. This </w:t>
      </w:r>
      <w:r w:rsidR="00D71F1D">
        <w:t xml:space="preserve">is </w:t>
      </w:r>
      <w:r w:rsidR="00437F33">
        <w:t xml:space="preserve">critical to understanding </w:t>
      </w:r>
      <w:r w:rsidR="002D6356">
        <w:t xml:space="preserve">the impact of </w:t>
      </w:r>
      <w:r>
        <w:t>HIV prevention</w:t>
      </w:r>
      <w:r w:rsidR="004D1C3D">
        <w:t xml:space="preserve"> </w:t>
      </w:r>
      <w:r w:rsidR="00C13BAA">
        <w:t xml:space="preserve">and </w:t>
      </w:r>
      <w:r w:rsidR="006048B8">
        <w:t>treatment</w:t>
      </w:r>
      <w:r>
        <w:t xml:space="preserve"> </w:t>
      </w:r>
      <w:r w:rsidR="002D6356">
        <w:t>intervention</w:t>
      </w:r>
      <w:r>
        <w:t>s</w:t>
      </w:r>
      <w:r w:rsidR="002D6356">
        <w:t xml:space="preserve">. </w:t>
      </w:r>
      <w:r w:rsidR="00EE48D1">
        <w:t>Clearly, r</w:t>
      </w:r>
      <w:r w:rsidR="001B4555">
        <w:t xml:space="preserve">esults from studies enrolling only cisgender men </w:t>
      </w:r>
      <w:r w:rsidR="00560776">
        <w:t>are not</w:t>
      </w:r>
      <w:r w:rsidR="001B4555">
        <w:t xml:space="preserve"> generali</w:t>
      </w:r>
      <w:r w:rsidR="00560776">
        <w:t xml:space="preserve">zable </w:t>
      </w:r>
      <w:r w:rsidR="001B4555">
        <w:t>to cisgender women</w:t>
      </w:r>
      <w:r w:rsidR="00560776">
        <w:t>, and vice versa.</w:t>
      </w:r>
      <w:r w:rsidR="001B4555">
        <w:t xml:space="preserve"> </w:t>
      </w:r>
      <w:r w:rsidR="00136ACD">
        <w:t xml:space="preserve">One </w:t>
      </w:r>
      <w:r w:rsidR="00846839">
        <w:t xml:space="preserve">specific example is the IPERGAY </w:t>
      </w:r>
      <w:r w:rsidR="00615315">
        <w:t>study,</w:t>
      </w:r>
      <w:r w:rsidR="00800B29">
        <w:rPr>
          <w:rStyle w:val="FootnoteReference"/>
        </w:rPr>
        <w:footnoteReference w:id="7"/>
      </w:r>
      <w:r w:rsidR="00846839">
        <w:t xml:space="preserve"> which found that intermittent dosing of oral </w:t>
      </w:r>
      <w:r w:rsidR="00AF782C">
        <w:t>Truvada</w:t>
      </w:r>
      <w:r w:rsidR="00AF782C">
        <w:rPr>
          <w:rFonts w:cstheme="minorHAnsi"/>
        </w:rPr>
        <w:t>®</w:t>
      </w:r>
      <w:r w:rsidR="00AF782C">
        <w:t xml:space="preserve"> as </w:t>
      </w:r>
      <w:r w:rsidR="00846839">
        <w:t>PrEP provided protection from HIV acquisition among cisgender men who have sex with men. These results</w:t>
      </w:r>
      <w:r w:rsidR="00FB551E">
        <w:t xml:space="preserve"> do</w:t>
      </w:r>
      <w:r w:rsidR="00846839">
        <w:t xml:space="preserve"> not apply to cisgender women because this population was not enrolled in the IPERGAY study</w:t>
      </w:r>
      <w:r w:rsidR="004D1C3D">
        <w:t>.</w:t>
      </w:r>
      <w:r w:rsidR="00846839">
        <w:t xml:space="preserve"> </w:t>
      </w:r>
      <w:r w:rsidR="004D1C3D">
        <w:t>I</w:t>
      </w:r>
      <w:r w:rsidR="00846839">
        <w:t xml:space="preserve">n fact, </w:t>
      </w:r>
      <w:r w:rsidR="00FB551E">
        <w:t xml:space="preserve">separate </w:t>
      </w:r>
      <w:r w:rsidR="00846839">
        <w:t>analyses</w:t>
      </w:r>
      <w:r w:rsidR="00800B29">
        <w:rPr>
          <w:rStyle w:val="FootnoteReference"/>
        </w:rPr>
        <w:footnoteReference w:id="8"/>
      </w:r>
      <w:r w:rsidR="00846839">
        <w:t xml:space="preserve"> suggest that intermittent dosing of oral PrEP does </w:t>
      </w:r>
      <w:r w:rsidR="00846839" w:rsidRPr="009E51DD">
        <w:rPr>
          <w:i/>
        </w:rPr>
        <w:t>not</w:t>
      </w:r>
      <w:r w:rsidR="00846839">
        <w:t xml:space="preserve"> provide the same level of protection from HIV acquisition </w:t>
      </w:r>
      <w:r w:rsidR="00AF782C">
        <w:t xml:space="preserve">among </w:t>
      </w:r>
      <w:r w:rsidR="00846839">
        <w:t>cisgender women.</w:t>
      </w:r>
      <w:r w:rsidR="00800B29">
        <w:t xml:space="preserve"> More recently,</w:t>
      </w:r>
      <w:r w:rsidR="00EB4986">
        <w:t xml:space="preserve"> following</w:t>
      </w:r>
      <w:r w:rsidR="00800B29">
        <w:t xml:space="preserve"> </w:t>
      </w:r>
      <w:r w:rsidR="00020795">
        <w:t>the</w:t>
      </w:r>
      <w:r w:rsidR="00800B29">
        <w:t xml:space="preserve"> D</w:t>
      </w:r>
      <w:r w:rsidR="00EB4986">
        <w:t>ISCOVER</w:t>
      </w:r>
      <w:r w:rsidR="00800B29">
        <w:t xml:space="preserve"> trial</w:t>
      </w:r>
      <w:r w:rsidR="00EB4986">
        <w:t xml:space="preserve"> </w:t>
      </w:r>
      <w:r w:rsidR="00800B29">
        <w:t xml:space="preserve">conducted by Gilead </w:t>
      </w:r>
      <w:r w:rsidR="00020795">
        <w:t xml:space="preserve">to assess </w:t>
      </w:r>
      <w:r w:rsidR="00800B29" w:rsidRPr="00020795">
        <w:t xml:space="preserve">whether F/TAF (Descovy) was </w:t>
      </w:r>
      <w:r w:rsidR="00EF5876">
        <w:t xml:space="preserve">as </w:t>
      </w:r>
      <w:r w:rsidR="00800B29" w:rsidRPr="00020795">
        <w:t xml:space="preserve">safe and </w:t>
      </w:r>
      <w:r w:rsidR="00EF5876">
        <w:t xml:space="preserve">effective </w:t>
      </w:r>
      <w:r w:rsidR="00806A0C">
        <w:t xml:space="preserve">as </w:t>
      </w:r>
      <w:r w:rsidR="00AF782C" w:rsidRPr="00AF782C">
        <w:t>F/TDF (Truvada</w:t>
      </w:r>
      <w:r w:rsidR="00AF782C" w:rsidRPr="00AF782C">
        <w:rPr>
          <w:rFonts w:cstheme="minorHAnsi"/>
        </w:rPr>
        <w:t>®</w:t>
      </w:r>
      <w:r w:rsidR="00AF782C" w:rsidRPr="00AF782C">
        <w:t>)</w:t>
      </w:r>
      <w:r w:rsidR="00AF782C">
        <w:t xml:space="preserve"> when used</w:t>
      </w:r>
      <w:r w:rsidR="00800B29" w:rsidRPr="00020795">
        <w:t xml:space="preserve"> as </w:t>
      </w:r>
      <w:r w:rsidR="00AF782C" w:rsidRPr="00020795">
        <w:t xml:space="preserve">daily </w:t>
      </w:r>
      <w:r w:rsidR="00800B29" w:rsidRPr="00020795">
        <w:t>oral PrEP</w:t>
      </w:r>
      <w:r w:rsidR="00020795" w:rsidRPr="00AF782C">
        <w:t xml:space="preserve">, the </w:t>
      </w:r>
      <w:r w:rsidR="00800B29" w:rsidRPr="00AF782C">
        <w:t>US Food and Drug Administration (FDA)</w:t>
      </w:r>
      <w:r w:rsidR="00E10FED" w:rsidRPr="00AF782C">
        <w:t xml:space="preserve"> </w:t>
      </w:r>
      <w:r w:rsidR="00020795" w:rsidRPr="00AF782C">
        <w:t>could only approve the drug for use as PrEP</w:t>
      </w:r>
      <w:r w:rsidR="00E10FED" w:rsidRPr="00AF782C">
        <w:t xml:space="preserve"> in </w:t>
      </w:r>
      <w:r w:rsidR="00800B29" w:rsidRPr="00AF782C">
        <w:t>cisgender men and transgender women who have sex with cisgender men</w:t>
      </w:r>
      <w:r w:rsidR="00E10FED" w:rsidRPr="00AF782C">
        <w:t xml:space="preserve">; the approval specifically excludes individuals vulnerable to HIV </w:t>
      </w:r>
      <w:r w:rsidR="00AF782C" w:rsidRPr="00AF782C">
        <w:t xml:space="preserve">through </w:t>
      </w:r>
      <w:r w:rsidR="00E10FED" w:rsidRPr="00AF782C">
        <w:t>receptive vaginal sex</w:t>
      </w:r>
      <w:r w:rsidR="00020795" w:rsidRPr="00AF782C">
        <w:t xml:space="preserve"> because </w:t>
      </w:r>
      <w:r w:rsidR="00E10FED" w:rsidRPr="00AF782C">
        <w:t xml:space="preserve">such individuals were not included in the study. </w:t>
      </w:r>
      <w:r w:rsidR="00EB4986" w:rsidRPr="00CD184B">
        <w:rPr>
          <w:rFonts w:ascii="Calibri" w:eastAsia="Times New Roman" w:hAnsi="Calibri" w:cs="Times New Roman"/>
          <w:color w:val="000000"/>
        </w:rPr>
        <w:t xml:space="preserve">These examples from oral PrEP research illustrate that results from studies </w:t>
      </w:r>
      <w:r w:rsidR="00560776" w:rsidRPr="00AF782C">
        <w:t>enrolling only cisgender people may not be generaliz</w:t>
      </w:r>
      <w:r w:rsidR="002116EF" w:rsidRPr="00AF782C">
        <w:t>able</w:t>
      </w:r>
      <w:r w:rsidR="00560776" w:rsidRPr="00AF782C">
        <w:t xml:space="preserve"> to transgender people. Therefore, study results should clearly describe the study population using the terms </w:t>
      </w:r>
      <w:r w:rsidR="00560776" w:rsidRPr="00AF782C">
        <w:rPr>
          <w:i/>
        </w:rPr>
        <w:t>cisgender</w:t>
      </w:r>
      <w:r w:rsidR="00560776" w:rsidRPr="00AF782C">
        <w:t xml:space="preserve">, </w:t>
      </w:r>
      <w:r w:rsidR="00560776" w:rsidRPr="00AF782C">
        <w:rPr>
          <w:i/>
        </w:rPr>
        <w:t>transgender</w:t>
      </w:r>
      <w:r w:rsidR="00560776" w:rsidRPr="00AF782C">
        <w:t xml:space="preserve">, </w:t>
      </w:r>
      <w:r w:rsidR="00AF782C">
        <w:t xml:space="preserve">and </w:t>
      </w:r>
      <w:r w:rsidR="00560776" w:rsidRPr="00AF782C">
        <w:rPr>
          <w:i/>
        </w:rPr>
        <w:t>sex assigned at birth,</w:t>
      </w:r>
      <w:r w:rsidR="00560776" w:rsidRPr="00AF782C">
        <w:t xml:space="preserve"> so it is clear to whom the study results apply.</w:t>
      </w:r>
    </w:p>
    <w:p w14:paraId="53FAE53E" w14:textId="426D8E29" w:rsidR="00E8621C" w:rsidRDefault="00846839" w:rsidP="002E642F">
      <w:pPr>
        <w:rPr>
          <w:b/>
          <w:u w:val="single"/>
        </w:rPr>
      </w:pPr>
      <w:r>
        <w:rPr>
          <w:b/>
          <w:u w:val="single"/>
        </w:rPr>
        <w:t>Summary</w:t>
      </w:r>
    </w:p>
    <w:p w14:paraId="37C65F8F" w14:textId="77777777" w:rsidR="00A846AC" w:rsidRDefault="004B3C1B" w:rsidP="00A846AC">
      <w:r w:rsidRPr="00846839">
        <w:t xml:space="preserve">The </w:t>
      </w:r>
      <w:r w:rsidR="009921F8">
        <w:t xml:space="preserve">DAIDS </w:t>
      </w:r>
      <w:r w:rsidRPr="00846839">
        <w:t>Cross-Network Transgender Working Group recommends</w:t>
      </w:r>
      <w:r w:rsidR="00846839">
        <w:t xml:space="preserve"> that</w:t>
      </w:r>
      <w:r w:rsidRPr="00846839">
        <w:t xml:space="preserve"> the NIH-funded HIV clinical trials networks adopt</w:t>
      </w:r>
      <w:r w:rsidR="00846839">
        <w:t xml:space="preserve"> these guidelines </w:t>
      </w:r>
      <w:r w:rsidRPr="00846839">
        <w:t xml:space="preserve">in order to more effectively </w:t>
      </w:r>
      <w:r w:rsidR="00846839">
        <w:t xml:space="preserve">recruit and enroll transgender individuals, more accurately report scientific results, and increase our understanding of transgender communities in the context of HIV treatment, prevention, and cure research. </w:t>
      </w:r>
    </w:p>
    <w:p w14:paraId="2B37EE23" w14:textId="77777777" w:rsidR="00A846AC" w:rsidRDefault="00A846AC">
      <w:r>
        <w:br w:type="page"/>
      </w:r>
    </w:p>
    <w:p w14:paraId="0EBBD122" w14:textId="504CBE93" w:rsidR="00377D2C" w:rsidRPr="00A846AC" w:rsidRDefault="00377D2C" w:rsidP="00A846AC">
      <w:pPr>
        <w:jc w:val="center"/>
      </w:pPr>
      <w:r>
        <w:rPr>
          <w:b/>
        </w:rPr>
        <w:lastRenderedPageBreak/>
        <w:t>Appendix A</w:t>
      </w:r>
    </w:p>
    <w:p w14:paraId="7D42901D" w14:textId="7CA5AA96" w:rsidR="00377D2C" w:rsidRPr="007624C7" w:rsidRDefault="00377D2C" w:rsidP="007624C7">
      <w:pPr>
        <w:pStyle w:val="BodyText"/>
        <w:spacing w:before="39"/>
        <w:ind w:left="100"/>
        <w:jc w:val="center"/>
        <w:rPr>
          <w:b/>
        </w:rPr>
      </w:pPr>
      <w:r w:rsidRPr="007624C7">
        <w:rPr>
          <w:b/>
        </w:rPr>
        <w:t>Use of Non-Stigmatizing, Gender</w:t>
      </w:r>
      <w:r w:rsidR="0095642C">
        <w:rPr>
          <w:b/>
        </w:rPr>
        <w:t>-</w:t>
      </w:r>
      <w:r w:rsidRPr="007624C7">
        <w:rPr>
          <w:b/>
        </w:rPr>
        <w:t>Inclusive Language</w:t>
      </w:r>
    </w:p>
    <w:p w14:paraId="3F8AC066" w14:textId="77777777" w:rsidR="007624C7" w:rsidRPr="00377D2C" w:rsidRDefault="007624C7" w:rsidP="00377D2C">
      <w:pPr>
        <w:spacing w:after="0" w:line="240" w:lineRule="auto"/>
        <w:jc w:val="center"/>
        <w:rPr>
          <w:rFonts w:ascii="Calibri" w:eastAsia="Calibri" w:hAnsi="Calibri" w:cs="Calibri"/>
          <w:b/>
          <w:sz w:val="24"/>
          <w:szCs w:val="24"/>
        </w:rPr>
      </w:pPr>
    </w:p>
    <w:p w14:paraId="7D9F9421" w14:textId="77777777" w:rsidR="00377D2C" w:rsidRPr="00377D2C" w:rsidRDefault="00377D2C" w:rsidP="00377D2C">
      <w:pPr>
        <w:spacing w:after="0" w:line="240" w:lineRule="auto"/>
        <w:rPr>
          <w:rFonts w:ascii="Calibri" w:eastAsia="Calibri" w:hAnsi="Calibri" w:cs="Calibri"/>
        </w:rPr>
      </w:pPr>
    </w:p>
    <w:tbl>
      <w:tblPr>
        <w:tblW w:w="10160" w:type="dxa"/>
        <w:tblCellMar>
          <w:left w:w="0" w:type="dxa"/>
          <w:right w:w="0" w:type="dxa"/>
        </w:tblCellMar>
        <w:tblLook w:val="04A0" w:firstRow="1" w:lastRow="0" w:firstColumn="1" w:lastColumn="0" w:noHBand="0" w:noVBand="1"/>
      </w:tblPr>
      <w:tblGrid>
        <w:gridCol w:w="2557"/>
        <w:gridCol w:w="3823"/>
        <w:gridCol w:w="3780"/>
      </w:tblGrid>
      <w:tr w:rsidR="00136ACD" w:rsidRPr="00377D2C" w14:paraId="4347B2BF" w14:textId="194B20EC" w:rsidTr="00A46177">
        <w:tc>
          <w:tcPr>
            <w:tcW w:w="2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31779D" w14:textId="4903E3B8" w:rsidR="00136ACD" w:rsidRPr="007624C7" w:rsidRDefault="00136ACD" w:rsidP="00377D2C">
            <w:pPr>
              <w:spacing w:after="0" w:line="240" w:lineRule="auto"/>
              <w:jc w:val="center"/>
              <w:rPr>
                <w:rFonts w:ascii="Calibri" w:eastAsia="Calibri" w:hAnsi="Calibri" w:cs="Calibri"/>
                <w:b/>
                <w:bCs/>
                <w:sz w:val="24"/>
                <w:szCs w:val="24"/>
              </w:rPr>
            </w:pPr>
            <w:r w:rsidRPr="007624C7">
              <w:rPr>
                <w:rFonts w:ascii="Calibri" w:eastAsia="Calibri" w:hAnsi="Calibri" w:cs="Calibri"/>
                <w:b/>
                <w:bCs/>
                <w:sz w:val="24"/>
                <w:szCs w:val="24"/>
              </w:rPr>
              <w:t>Instead of….</w:t>
            </w:r>
          </w:p>
          <w:p w14:paraId="3543DB71" w14:textId="77777777" w:rsidR="00136ACD" w:rsidRPr="007624C7" w:rsidRDefault="00136ACD" w:rsidP="00377D2C">
            <w:pPr>
              <w:spacing w:after="0" w:line="240" w:lineRule="auto"/>
              <w:jc w:val="center"/>
              <w:rPr>
                <w:rFonts w:ascii="Calibri" w:eastAsia="Calibri" w:hAnsi="Calibri" w:cs="Calibri"/>
                <w:b/>
                <w:bCs/>
                <w:sz w:val="24"/>
                <w:szCs w:val="24"/>
              </w:rPr>
            </w:pPr>
          </w:p>
          <w:p w14:paraId="6E02AFE5" w14:textId="20B0EAEE" w:rsidR="00136ACD" w:rsidRPr="007624C7" w:rsidRDefault="00136ACD" w:rsidP="00377D2C">
            <w:pPr>
              <w:spacing w:after="0" w:line="240" w:lineRule="auto"/>
              <w:jc w:val="center"/>
              <w:rPr>
                <w:rFonts w:ascii="Calibri" w:eastAsia="Calibri" w:hAnsi="Calibri" w:cs="Calibri"/>
                <w:b/>
                <w:bCs/>
                <w:sz w:val="24"/>
                <w:szCs w:val="24"/>
              </w:rPr>
            </w:pP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995AE" w14:textId="61DE0A07" w:rsidR="00136ACD" w:rsidRPr="007624C7" w:rsidRDefault="00136ACD" w:rsidP="00A46177">
            <w:pPr>
              <w:tabs>
                <w:tab w:val="center" w:pos="3267"/>
                <w:tab w:val="left" w:pos="5265"/>
              </w:tabs>
              <w:spacing w:after="0" w:line="240" w:lineRule="auto"/>
              <w:jc w:val="center"/>
              <w:rPr>
                <w:rFonts w:ascii="Calibri" w:eastAsia="Calibri" w:hAnsi="Calibri" w:cs="Calibri"/>
                <w:b/>
                <w:bCs/>
                <w:sz w:val="24"/>
                <w:szCs w:val="24"/>
              </w:rPr>
            </w:pPr>
            <w:r w:rsidRPr="007624C7">
              <w:rPr>
                <w:rFonts w:ascii="Calibri" w:eastAsia="Calibri" w:hAnsi="Calibri" w:cs="Calibri"/>
                <w:b/>
                <w:bCs/>
                <w:sz w:val="24"/>
                <w:szCs w:val="24"/>
              </w:rPr>
              <w:t>Use….</w:t>
            </w:r>
          </w:p>
          <w:p w14:paraId="7822D268" w14:textId="58468D5A" w:rsidR="00136ACD" w:rsidRPr="007624C7" w:rsidRDefault="00136ACD" w:rsidP="00377D2C">
            <w:pPr>
              <w:spacing w:after="0" w:line="240" w:lineRule="auto"/>
              <w:jc w:val="center"/>
              <w:rPr>
                <w:rFonts w:ascii="Calibri" w:eastAsia="Calibri" w:hAnsi="Calibri" w:cs="Calibri"/>
                <w:b/>
                <w:bCs/>
                <w:sz w:val="24"/>
                <w:szCs w:val="24"/>
              </w:rPr>
            </w:pPr>
          </w:p>
        </w:tc>
        <w:tc>
          <w:tcPr>
            <w:tcW w:w="3780" w:type="dxa"/>
            <w:tcBorders>
              <w:top w:val="single" w:sz="8" w:space="0" w:color="auto"/>
              <w:left w:val="nil"/>
              <w:bottom w:val="single" w:sz="8" w:space="0" w:color="auto"/>
              <w:right w:val="single" w:sz="8" w:space="0" w:color="auto"/>
            </w:tcBorders>
          </w:tcPr>
          <w:p w14:paraId="53117ABE" w14:textId="1A16C6C6" w:rsidR="00136ACD" w:rsidRPr="007624C7" w:rsidRDefault="00A46177" w:rsidP="00136ACD">
            <w:pPr>
              <w:tabs>
                <w:tab w:val="center" w:pos="3267"/>
                <w:tab w:val="left" w:pos="5265"/>
              </w:tabs>
              <w:spacing w:after="0" w:line="240" w:lineRule="auto"/>
              <w:jc w:val="center"/>
              <w:rPr>
                <w:rFonts w:ascii="Calibri" w:eastAsia="Calibri" w:hAnsi="Calibri" w:cs="Calibri"/>
                <w:b/>
                <w:bCs/>
                <w:sz w:val="24"/>
                <w:szCs w:val="24"/>
              </w:rPr>
            </w:pPr>
            <w:r>
              <w:rPr>
                <w:rFonts w:ascii="Calibri" w:eastAsia="Calibri" w:hAnsi="Calibri" w:cs="Calibri"/>
                <w:b/>
                <w:bCs/>
                <w:sz w:val="24"/>
                <w:szCs w:val="24"/>
              </w:rPr>
              <w:t>Why….</w:t>
            </w:r>
          </w:p>
        </w:tc>
      </w:tr>
      <w:tr w:rsidR="00136ACD" w:rsidRPr="00377D2C" w14:paraId="4AC4F229" w14:textId="609EA90F" w:rsidTr="00A46177">
        <w:trPr>
          <w:trHeight w:val="448"/>
        </w:trPr>
        <w:tc>
          <w:tcPr>
            <w:tcW w:w="25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2072A0" w14:textId="5F4529CB" w:rsidR="00136ACD" w:rsidRDefault="00136ACD" w:rsidP="00377D2C">
            <w:pPr>
              <w:spacing w:after="0" w:line="240" w:lineRule="auto"/>
              <w:rPr>
                <w:rFonts w:ascii="Calibri" w:eastAsia="Calibri" w:hAnsi="Calibri" w:cs="Calibri"/>
              </w:rPr>
            </w:pPr>
            <w:r>
              <w:rPr>
                <w:rFonts w:ascii="Calibri" w:eastAsia="Calibri" w:hAnsi="Calibri" w:cs="Calibri"/>
              </w:rPr>
              <w:t>Biological sex</w:t>
            </w:r>
          </w:p>
        </w:tc>
        <w:tc>
          <w:tcPr>
            <w:tcW w:w="38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91DBAA" w14:textId="77777777" w:rsidR="00136ACD" w:rsidRDefault="00136ACD" w:rsidP="00377D2C">
            <w:pPr>
              <w:spacing w:after="0" w:line="240" w:lineRule="auto"/>
              <w:rPr>
                <w:rFonts w:ascii="Calibri" w:eastAsia="Calibri" w:hAnsi="Calibri" w:cs="Calibri"/>
              </w:rPr>
            </w:pPr>
            <w:r>
              <w:rPr>
                <w:rFonts w:ascii="Calibri" w:eastAsia="Calibri" w:hAnsi="Calibri" w:cs="Calibri"/>
              </w:rPr>
              <w:t>Sex assigned at birth</w:t>
            </w:r>
          </w:p>
          <w:p w14:paraId="6EDA58F0" w14:textId="1BC7F1BF" w:rsidR="00136ACD" w:rsidRPr="00377D2C" w:rsidRDefault="00136ACD" w:rsidP="00377D2C">
            <w:pPr>
              <w:spacing w:after="0" w:line="240" w:lineRule="auto"/>
              <w:rPr>
                <w:rFonts w:ascii="Calibri" w:eastAsia="Calibri" w:hAnsi="Calibri" w:cs="Calibri"/>
              </w:rPr>
            </w:pPr>
          </w:p>
        </w:tc>
        <w:tc>
          <w:tcPr>
            <w:tcW w:w="3780" w:type="dxa"/>
            <w:tcBorders>
              <w:top w:val="nil"/>
              <w:left w:val="nil"/>
              <w:bottom w:val="single" w:sz="8" w:space="0" w:color="auto"/>
              <w:right w:val="single" w:sz="8" w:space="0" w:color="auto"/>
            </w:tcBorders>
          </w:tcPr>
          <w:p w14:paraId="0954A8E9" w14:textId="77777777" w:rsidR="00A05719" w:rsidRDefault="00136ACD" w:rsidP="00A05719">
            <w:pPr>
              <w:spacing w:after="0" w:line="240" w:lineRule="auto"/>
              <w:rPr>
                <w:rFonts w:ascii="Calibri" w:eastAsia="Calibri" w:hAnsi="Calibri" w:cs="Calibri"/>
              </w:rPr>
            </w:pPr>
            <w:r>
              <w:rPr>
                <w:rFonts w:ascii="Calibri" w:eastAsia="Calibri" w:hAnsi="Calibri" w:cs="Calibri"/>
              </w:rPr>
              <w:t xml:space="preserve">Transgender people are biological </w:t>
            </w:r>
            <w:r w:rsidR="00A46177">
              <w:rPr>
                <w:rFonts w:ascii="Calibri" w:eastAsia="Calibri" w:hAnsi="Calibri" w:cs="Calibri"/>
              </w:rPr>
              <w:t>beings</w:t>
            </w:r>
            <w:r w:rsidR="00A05719">
              <w:rPr>
                <w:rFonts w:ascii="Calibri" w:eastAsia="Calibri" w:hAnsi="Calibri" w:cs="Calibri"/>
              </w:rPr>
              <w:t>, and this terminology discounts that</w:t>
            </w:r>
          </w:p>
          <w:p w14:paraId="43655145" w14:textId="3BDC311B" w:rsidR="00A05719" w:rsidRDefault="00A05719" w:rsidP="00A05719">
            <w:pPr>
              <w:spacing w:after="0" w:line="240" w:lineRule="auto"/>
              <w:rPr>
                <w:rFonts w:ascii="Calibri" w:eastAsia="Calibri" w:hAnsi="Calibri" w:cs="Calibri"/>
              </w:rPr>
            </w:pPr>
          </w:p>
        </w:tc>
      </w:tr>
      <w:tr w:rsidR="00136ACD" w:rsidRPr="00377D2C" w14:paraId="37E44B0E" w14:textId="20EBA746" w:rsidTr="00A46177">
        <w:tc>
          <w:tcPr>
            <w:tcW w:w="2557"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52FCC1FA" w14:textId="5535A0F8" w:rsidR="00136ACD" w:rsidRDefault="00136ACD" w:rsidP="00377D2C">
            <w:pPr>
              <w:spacing w:after="0" w:line="240" w:lineRule="auto"/>
              <w:rPr>
                <w:rFonts w:ascii="Calibri" w:eastAsia="Calibri" w:hAnsi="Calibri" w:cs="Calibri"/>
              </w:rPr>
            </w:pPr>
            <w:r>
              <w:rPr>
                <w:rFonts w:ascii="Calibri" w:eastAsia="Calibri" w:hAnsi="Calibri" w:cs="Calibri"/>
              </w:rPr>
              <w:t xml:space="preserve">Sex at birth </w:t>
            </w:r>
          </w:p>
        </w:tc>
        <w:tc>
          <w:tcPr>
            <w:tcW w:w="38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4824ECB1" w14:textId="77777777" w:rsidR="00136ACD" w:rsidRDefault="00136ACD" w:rsidP="006C2234">
            <w:pPr>
              <w:spacing w:after="0" w:line="240" w:lineRule="auto"/>
              <w:rPr>
                <w:rFonts w:ascii="Calibri" w:eastAsia="Calibri" w:hAnsi="Calibri" w:cs="Calibri"/>
              </w:rPr>
            </w:pPr>
            <w:r>
              <w:rPr>
                <w:rFonts w:ascii="Calibri" w:eastAsia="Calibri" w:hAnsi="Calibri" w:cs="Calibri"/>
              </w:rPr>
              <w:t>Sex assigned at birth</w:t>
            </w:r>
          </w:p>
          <w:p w14:paraId="45AA78AC" w14:textId="77777777" w:rsidR="00136ACD" w:rsidRDefault="00136ACD" w:rsidP="00377D2C">
            <w:pPr>
              <w:spacing w:after="0" w:line="240" w:lineRule="auto"/>
              <w:rPr>
                <w:rFonts w:ascii="Calibri" w:eastAsia="Calibri" w:hAnsi="Calibri" w:cs="Calibri"/>
              </w:rPr>
            </w:pPr>
          </w:p>
        </w:tc>
        <w:tc>
          <w:tcPr>
            <w:tcW w:w="3780" w:type="dxa"/>
            <w:tcBorders>
              <w:top w:val="nil"/>
              <w:left w:val="nil"/>
              <w:bottom w:val="single" w:sz="8" w:space="0" w:color="auto"/>
              <w:right w:val="single" w:sz="8" w:space="0" w:color="auto"/>
            </w:tcBorders>
            <w:shd w:val="clear" w:color="auto" w:fill="E7E6E6" w:themeFill="background2"/>
          </w:tcPr>
          <w:p w14:paraId="6616DA71" w14:textId="091EB7CD" w:rsidR="00136ACD" w:rsidRDefault="00136ACD" w:rsidP="006C2234">
            <w:pPr>
              <w:spacing w:after="0" w:line="240" w:lineRule="auto"/>
              <w:rPr>
                <w:rFonts w:ascii="Calibri" w:eastAsia="Calibri" w:hAnsi="Calibri" w:cs="Calibri"/>
              </w:rPr>
            </w:pPr>
            <w:r>
              <w:rPr>
                <w:rFonts w:ascii="Calibri" w:eastAsia="Calibri" w:hAnsi="Calibri" w:cs="Calibri"/>
              </w:rPr>
              <w:t>Sex is assigned</w:t>
            </w:r>
            <w:r w:rsidR="002638F0">
              <w:rPr>
                <w:rFonts w:ascii="Calibri" w:eastAsia="Calibri" w:hAnsi="Calibri" w:cs="Calibri"/>
              </w:rPr>
              <w:t>,</w:t>
            </w:r>
            <w:r>
              <w:rPr>
                <w:rFonts w:ascii="Calibri" w:eastAsia="Calibri" w:hAnsi="Calibri" w:cs="Calibri"/>
              </w:rPr>
              <w:t xml:space="preserve"> not a given</w:t>
            </w:r>
            <w:r w:rsidR="00A05719">
              <w:rPr>
                <w:rFonts w:ascii="Calibri" w:eastAsia="Calibri" w:hAnsi="Calibri" w:cs="Calibri"/>
              </w:rPr>
              <w:t>; many transgender and intersex individuals feel they were “assigned” the wrong sex at birth</w:t>
            </w:r>
          </w:p>
          <w:p w14:paraId="52E1845D" w14:textId="2CC6EA4A" w:rsidR="00A05719" w:rsidRDefault="00A05719" w:rsidP="006C2234">
            <w:pPr>
              <w:spacing w:after="0" w:line="240" w:lineRule="auto"/>
              <w:rPr>
                <w:rFonts w:ascii="Calibri" w:eastAsia="Calibri" w:hAnsi="Calibri" w:cs="Calibri"/>
              </w:rPr>
            </w:pPr>
          </w:p>
        </w:tc>
      </w:tr>
      <w:tr w:rsidR="00136ACD" w:rsidRPr="00377D2C" w14:paraId="190B33B2" w14:textId="309FBA7A" w:rsidTr="00A46177">
        <w:tc>
          <w:tcPr>
            <w:tcW w:w="2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AF303" w14:textId="27BAC934" w:rsidR="00136ACD" w:rsidRDefault="00136ACD" w:rsidP="00377D2C">
            <w:pPr>
              <w:spacing w:after="0" w:line="240" w:lineRule="auto"/>
              <w:rPr>
                <w:rFonts w:ascii="Calibri" w:eastAsia="Calibri" w:hAnsi="Calibri" w:cs="Calibri"/>
              </w:rPr>
            </w:pPr>
            <w:r>
              <w:rPr>
                <w:rFonts w:ascii="Calibri" w:eastAsia="Calibri" w:hAnsi="Calibri" w:cs="Calibri"/>
              </w:rPr>
              <w:t xml:space="preserve">A transgender </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32EEB063" w14:textId="77777777" w:rsidR="00136ACD" w:rsidRDefault="00136ACD" w:rsidP="00377D2C">
            <w:pPr>
              <w:spacing w:after="0" w:line="240" w:lineRule="auto"/>
              <w:rPr>
                <w:rFonts w:ascii="Calibri" w:eastAsia="Calibri" w:hAnsi="Calibri" w:cs="Calibri"/>
              </w:rPr>
            </w:pPr>
            <w:r>
              <w:rPr>
                <w:rFonts w:ascii="Calibri" w:eastAsia="Calibri" w:hAnsi="Calibri" w:cs="Calibri"/>
              </w:rPr>
              <w:t>Transgender person, a person who is transgender</w:t>
            </w:r>
          </w:p>
          <w:p w14:paraId="49398FA8" w14:textId="0FCC7D46" w:rsidR="00136ACD" w:rsidRPr="00377D2C" w:rsidRDefault="00136ACD" w:rsidP="00377D2C">
            <w:pPr>
              <w:spacing w:after="0" w:line="240" w:lineRule="auto"/>
              <w:rPr>
                <w:rFonts w:ascii="Calibri" w:eastAsia="Calibri" w:hAnsi="Calibri" w:cs="Calibri"/>
              </w:rPr>
            </w:pPr>
          </w:p>
        </w:tc>
        <w:tc>
          <w:tcPr>
            <w:tcW w:w="3780" w:type="dxa"/>
            <w:tcBorders>
              <w:top w:val="nil"/>
              <w:left w:val="nil"/>
              <w:bottom w:val="single" w:sz="8" w:space="0" w:color="auto"/>
              <w:right w:val="single" w:sz="8" w:space="0" w:color="auto"/>
            </w:tcBorders>
          </w:tcPr>
          <w:p w14:paraId="75123017" w14:textId="7853B6B5" w:rsidR="00136ACD" w:rsidRDefault="00136ACD" w:rsidP="00377D2C">
            <w:pPr>
              <w:spacing w:after="0" w:line="240" w:lineRule="auto"/>
              <w:rPr>
                <w:rFonts w:ascii="Calibri" w:eastAsia="Calibri" w:hAnsi="Calibri" w:cs="Calibri"/>
              </w:rPr>
            </w:pPr>
            <w:r>
              <w:rPr>
                <w:rFonts w:ascii="Calibri" w:eastAsia="Calibri" w:hAnsi="Calibri" w:cs="Calibri"/>
              </w:rPr>
              <w:t xml:space="preserve">Transgender is </w:t>
            </w:r>
            <w:r w:rsidR="00914C70">
              <w:rPr>
                <w:rFonts w:ascii="Calibri" w:eastAsia="Calibri" w:hAnsi="Calibri" w:cs="Calibri"/>
              </w:rPr>
              <w:t xml:space="preserve">properly used as an adjective; it’s use as a noun is offensive </w:t>
            </w:r>
          </w:p>
        </w:tc>
      </w:tr>
      <w:tr w:rsidR="00136ACD" w:rsidRPr="00377D2C" w14:paraId="3E53A45E" w14:textId="55CBC748" w:rsidTr="00A46177">
        <w:tc>
          <w:tcPr>
            <w:tcW w:w="2557"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74D59D10" w14:textId="06E20C3E" w:rsidR="00136ACD" w:rsidRDefault="00136ACD" w:rsidP="00377D2C">
            <w:pPr>
              <w:spacing w:after="0" w:line="240" w:lineRule="auto"/>
              <w:rPr>
                <w:rFonts w:ascii="Calibri" w:eastAsia="Calibri" w:hAnsi="Calibri" w:cs="Calibri"/>
              </w:rPr>
            </w:pPr>
            <w:r>
              <w:rPr>
                <w:rFonts w:ascii="Calibri" w:eastAsia="Calibri" w:hAnsi="Calibri" w:cs="Calibri"/>
              </w:rPr>
              <w:t xml:space="preserve">Transgenders </w:t>
            </w:r>
          </w:p>
        </w:tc>
        <w:tc>
          <w:tcPr>
            <w:tcW w:w="38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272D4C15" w14:textId="77777777" w:rsidR="00136ACD" w:rsidRDefault="00136ACD" w:rsidP="00377D2C">
            <w:pPr>
              <w:spacing w:after="0" w:line="240" w:lineRule="auto"/>
              <w:rPr>
                <w:rFonts w:ascii="Calibri" w:eastAsia="Calibri" w:hAnsi="Calibri" w:cs="Calibri"/>
              </w:rPr>
            </w:pPr>
            <w:r>
              <w:rPr>
                <w:rFonts w:ascii="Calibri" w:eastAsia="Calibri" w:hAnsi="Calibri" w:cs="Calibri"/>
              </w:rPr>
              <w:t>Transgender people, people who are transgender</w:t>
            </w:r>
          </w:p>
          <w:p w14:paraId="41F75EAE" w14:textId="3E0028E2" w:rsidR="00136ACD" w:rsidRPr="00377D2C" w:rsidRDefault="00136ACD" w:rsidP="00377D2C">
            <w:pPr>
              <w:spacing w:after="0" w:line="240" w:lineRule="auto"/>
              <w:rPr>
                <w:rFonts w:ascii="Calibri" w:eastAsia="Calibri" w:hAnsi="Calibri" w:cs="Calibri"/>
              </w:rPr>
            </w:pPr>
          </w:p>
        </w:tc>
        <w:tc>
          <w:tcPr>
            <w:tcW w:w="3780" w:type="dxa"/>
            <w:tcBorders>
              <w:top w:val="nil"/>
              <w:left w:val="nil"/>
              <w:bottom w:val="single" w:sz="8" w:space="0" w:color="auto"/>
              <w:right w:val="single" w:sz="8" w:space="0" w:color="auto"/>
            </w:tcBorders>
            <w:shd w:val="clear" w:color="auto" w:fill="E7E6E6" w:themeFill="background2"/>
          </w:tcPr>
          <w:p w14:paraId="40C251D2" w14:textId="6291AF7B" w:rsidR="00136ACD" w:rsidRDefault="00A05719" w:rsidP="00377D2C">
            <w:pPr>
              <w:spacing w:after="0" w:line="240" w:lineRule="auto"/>
              <w:rPr>
                <w:rFonts w:ascii="Calibri" w:eastAsia="Calibri" w:hAnsi="Calibri" w:cs="Calibri"/>
              </w:rPr>
            </w:pPr>
            <w:r>
              <w:rPr>
                <w:rFonts w:ascii="Calibri" w:eastAsia="Calibri" w:hAnsi="Calibri" w:cs="Calibri"/>
              </w:rPr>
              <w:t>The word “</w:t>
            </w:r>
            <w:r w:rsidR="00136ACD">
              <w:rPr>
                <w:rFonts w:ascii="Calibri" w:eastAsia="Calibri" w:hAnsi="Calibri" w:cs="Calibri"/>
              </w:rPr>
              <w:t>Transgender</w:t>
            </w:r>
            <w:r>
              <w:rPr>
                <w:rFonts w:ascii="Calibri" w:eastAsia="Calibri" w:hAnsi="Calibri" w:cs="Calibri"/>
              </w:rPr>
              <w:t xml:space="preserve">” cannot be </w:t>
            </w:r>
            <w:r w:rsidR="00136ACD">
              <w:rPr>
                <w:rFonts w:ascii="Calibri" w:eastAsia="Calibri" w:hAnsi="Calibri" w:cs="Calibri"/>
              </w:rPr>
              <w:t xml:space="preserve">made plural </w:t>
            </w:r>
          </w:p>
        </w:tc>
      </w:tr>
      <w:tr w:rsidR="00136ACD" w:rsidRPr="00377D2C" w14:paraId="24BF89C5" w14:textId="79C9C079" w:rsidTr="00A46177">
        <w:tc>
          <w:tcPr>
            <w:tcW w:w="2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DBBD29" w14:textId="6C0F35D1" w:rsidR="00136ACD" w:rsidRDefault="00136ACD" w:rsidP="00377D2C">
            <w:pPr>
              <w:spacing w:after="0" w:line="240" w:lineRule="auto"/>
              <w:rPr>
                <w:rFonts w:ascii="Calibri" w:eastAsia="Calibri" w:hAnsi="Calibri" w:cs="Calibri"/>
              </w:rPr>
            </w:pPr>
            <w:r>
              <w:rPr>
                <w:rFonts w:ascii="Calibri" w:eastAsia="Calibri" w:hAnsi="Calibri" w:cs="Calibri"/>
              </w:rPr>
              <w:t>Transgendered</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1D3C6C2E" w14:textId="77777777" w:rsidR="00136ACD" w:rsidRDefault="00136ACD" w:rsidP="00377D2C">
            <w:pPr>
              <w:spacing w:after="0" w:line="240" w:lineRule="auto"/>
              <w:rPr>
                <w:rFonts w:ascii="Calibri" w:eastAsia="Calibri" w:hAnsi="Calibri" w:cs="Calibri"/>
              </w:rPr>
            </w:pPr>
            <w:r>
              <w:rPr>
                <w:rFonts w:ascii="Calibri" w:eastAsia="Calibri" w:hAnsi="Calibri" w:cs="Calibri"/>
              </w:rPr>
              <w:t>Transgender</w:t>
            </w:r>
          </w:p>
          <w:p w14:paraId="5BF4B2AC" w14:textId="53A5DDD7" w:rsidR="00136ACD" w:rsidRPr="00377D2C" w:rsidRDefault="00136ACD" w:rsidP="00377D2C">
            <w:pPr>
              <w:spacing w:after="0" w:line="240" w:lineRule="auto"/>
              <w:rPr>
                <w:rFonts w:ascii="Calibri" w:eastAsia="Calibri" w:hAnsi="Calibri" w:cs="Calibri"/>
              </w:rPr>
            </w:pPr>
            <w:r>
              <w:rPr>
                <w:rFonts w:ascii="Calibri" w:eastAsia="Calibri" w:hAnsi="Calibri" w:cs="Calibri"/>
              </w:rPr>
              <w:t xml:space="preserve"> </w:t>
            </w:r>
          </w:p>
        </w:tc>
        <w:tc>
          <w:tcPr>
            <w:tcW w:w="3780" w:type="dxa"/>
            <w:tcBorders>
              <w:top w:val="nil"/>
              <w:left w:val="nil"/>
              <w:bottom w:val="single" w:sz="8" w:space="0" w:color="auto"/>
              <w:right w:val="single" w:sz="8" w:space="0" w:color="auto"/>
            </w:tcBorders>
          </w:tcPr>
          <w:p w14:paraId="274CF1DD" w14:textId="7CACF797" w:rsidR="00A05719" w:rsidRDefault="00914C70" w:rsidP="00377D2C">
            <w:pPr>
              <w:spacing w:after="0" w:line="240" w:lineRule="auto"/>
              <w:rPr>
                <w:rFonts w:ascii="Calibri" w:eastAsia="Calibri" w:hAnsi="Calibri" w:cs="Calibri"/>
              </w:rPr>
            </w:pPr>
            <w:r>
              <w:rPr>
                <w:rFonts w:ascii="Calibri" w:eastAsia="Calibri" w:hAnsi="Calibri" w:cs="Calibri"/>
              </w:rPr>
              <w:t>This is stigmatizing language</w:t>
            </w:r>
            <w:r w:rsidR="002638F0">
              <w:rPr>
                <w:rFonts w:ascii="Calibri" w:eastAsia="Calibri" w:hAnsi="Calibri" w:cs="Calibri"/>
              </w:rPr>
              <w:t>, presuming that gender is something that happened in the past tense</w:t>
            </w:r>
          </w:p>
          <w:p w14:paraId="66E96CD0" w14:textId="7D5B0147" w:rsidR="00CD184B" w:rsidRDefault="00CD184B" w:rsidP="00377D2C">
            <w:pPr>
              <w:spacing w:after="0" w:line="240" w:lineRule="auto"/>
              <w:rPr>
                <w:rFonts w:ascii="Calibri" w:eastAsia="Calibri" w:hAnsi="Calibri" w:cs="Calibri"/>
              </w:rPr>
            </w:pPr>
          </w:p>
        </w:tc>
      </w:tr>
      <w:tr w:rsidR="00136ACD" w:rsidRPr="00377D2C" w14:paraId="0AA21560" w14:textId="240062E6" w:rsidTr="00A46177">
        <w:tc>
          <w:tcPr>
            <w:tcW w:w="2557"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4DFE1140" w14:textId="77777777" w:rsidR="00136ACD" w:rsidRDefault="00136ACD" w:rsidP="00BE7DCA">
            <w:pPr>
              <w:spacing w:after="0" w:line="240" w:lineRule="auto"/>
              <w:rPr>
                <w:rFonts w:ascii="Calibri" w:eastAsia="Calibri" w:hAnsi="Calibri" w:cs="Calibri"/>
              </w:rPr>
            </w:pPr>
            <w:r>
              <w:rPr>
                <w:rFonts w:ascii="Calibri" w:eastAsia="Calibri" w:hAnsi="Calibri" w:cs="Calibri"/>
              </w:rPr>
              <w:t>Used to be a woman, born a woman, FTM</w:t>
            </w:r>
          </w:p>
          <w:p w14:paraId="110D88B2" w14:textId="00C2D8A6" w:rsidR="00136ACD" w:rsidRDefault="00136ACD" w:rsidP="00BE7DCA">
            <w:pPr>
              <w:spacing w:after="0" w:line="240" w:lineRule="auto"/>
              <w:rPr>
                <w:rFonts w:ascii="Calibri" w:eastAsia="Calibri" w:hAnsi="Calibri" w:cs="Calibri"/>
              </w:rPr>
            </w:pPr>
          </w:p>
        </w:tc>
        <w:tc>
          <w:tcPr>
            <w:tcW w:w="38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4F41DA46" w14:textId="0A74B1C1" w:rsidR="00136ACD" w:rsidRPr="00377D2C" w:rsidRDefault="00136ACD" w:rsidP="00377D2C">
            <w:pPr>
              <w:spacing w:after="0" w:line="240" w:lineRule="auto"/>
              <w:rPr>
                <w:rFonts w:ascii="Calibri" w:eastAsia="Calibri" w:hAnsi="Calibri" w:cs="Calibri"/>
              </w:rPr>
            </w:pPr>
            <w:r>
              <w:rPr>
                <w:rFonts w:ascii="Calibri" w:eastAsia="Calibri" w:hAnsi="Calibri" w:cs="Calibri"/>
              </w:rPr>
              <w:t>Transgender man, trans man</w:t>
            </w:r>
          </w:p>
        </w:tc>
        <w:tc>
          <w:tcPr>
            <w:tcW w:w="3780" w:type="dxa"/>
            <w:tcBorders>
              <w:top w:val="nil"/>
              <w:left w:val="nil"/>
              <w:bottom w:val="single" w:sz="8" w:space="0" w:color="auto"/>
              <w:right w:val="single" w:sz="8" w:space="0" w:color="auto"/>
            </w:tcBorders>
            <w:shd w:val="clear" w:color="auto" w:fill="E7E6E6" w:themeFill="background2"/>
          </w:tcPr>
          <w:p w14:paraId="6DC64C83" w14:textId="2AEED95C" w:rsidR="00136ACD" w:rsidRDefault="00136ACD" w:rsidP="00377D2C">
            <w:pPr>
              <w:spacing w:after="0" w:line="240" w:lineRule="auto"/>
              <w:rPr>
                <w:rFonts w:ascii="Calibri" w:eastAsia="Calibri" w:hAnsi="Calibri" w:cs="Calibri"/>
              </w:rPr>
            </w:pPr>
            <w:r>
              <w:rPr>
                <w:rFonts w:ascii="Calibri" w:eastAsia="Calibri" w:hAnsi="Calibri" w:cs="Calibri"/>
              </w:rPr>
              <w:t>This is stigmatizing language</w:t>
            </w:r>
            <w:r w:rsidR="00F67FF3">
              <w:rPr>
                <w:rFonts w:ascii="Calibri" w:eastAsia="Calibri" w:hAnsi="Calibri" w:cs="Calibri"/>
              </w:rPr>
              <w:t xml:space="preserve"> that emphasizes</w:t>
            </w:r>
            <w:r w:rsidR="002638F0">
              <w:rPr>
                <w:rFonts w:ascii="Calibri" w:eastAsia="Calibri" w:hAnsi="Calibri" w:cs="Calibri"/>
              </w:rPr>
              <w:t xml:space="preserve"> the past without acknowledging the present</w:t>
            </w:r>
          </w:p>
          <w:p w14:paraId="261CD6E0" w14:textId="75A8F4DA" w:rsidR="00CD184B" w:rsidRDefault="00CD184B" w:rsidP="00377D2C">
            <w:pPr>
              <w:spacing w:after="0" w:line="240" w:lineRule="auto"/>
              <w:rPr>
                <w:rFonts w:ascii="Calibri" w:eastAsia="Calibri" w:hAnsi="Calibri" w:cs="Calibri"/>
              </w:rPr>
            </w:pPr>
          </w:p>
        </w:tc>
      </w:tr>
      <w:tr w:rsidR="00136ACD" w:rsidRPr="00377D2C" w14:paraId="55B259F5" w14:textId="3B6C0540" w:rsidTr="00A46177">
        <w:tc>
          <w:tcPr>
            <w:tcW w:w="2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03FB0C" w14:textId="77777777" w:rsidR="00136ACD" w:rsidRDefault="00136ACD" w:rsidP="00BE7DCA">
            <w:pPr>
              <w:spacing w:after="0" w:line="240" w:lineRule="auto"/>
              <w:rPr>
                <w:rFonts w:ascii="Calibri" w:eastAsia="Calibri" w:hAnsi="Calibri" w:cs="Calibri"/>
              </w:rPr>
            </w:pPr>
            <w:r>
              <w:rPr>
                <w:rFonts w:ascii="Calibri" w:eastAsia="Calibri" w:hAnsi="Calibri" w:cs="Calibri"/>
              </w:rPr>
              <w:t>Used to be a man, born a man, MTF</w:t>
            </w:r>
          </w:p>
          <w:p w14:paraId="10AB2047" w14:textId="0627696C" w:rsidR="00136ACD" w:rsidRDefault="00136ACD" w:rsidP="00BE7DCA">
            <w:pPr>
              <w:spacing w:after="0" w:line="240" w:lineRule="auto"/>
              <w:rPr>
                <w:rFonts w:ascii="Calibri" w:eastAsia="Calibri" w:hAnsi="Calibri" w:cs="Calibri"/>
              </w:rPr>
            </w:pP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1001F21A" w14:textId="4A99D45C" w:rsidR="00136ACD" w:rsidRPr="00377D2C" w:rsidRDefault="00136ACD" w:rsidP="00BE7DCA">
            <w:pPr>
              <w:spacing w:after="0" w:line="240" w:lineRule="auto"/>
              <w:rPr>
                <w:rFonts w:ascii="Calibri" w:eastAsia="Calibri" w:hAnsi="Calibri" w:cs="Calibri"/>
              </w:rPr>
            </w:pPr>
            <w:r>
              <w:rPr>
                <w:rFonts w:ascii="Calibri" w:eastAsia="Calibri" w:hAnsi="Calibri" w:cs="Calibri"/>
              </w:rPr>
              <w:t>Transgender woman, trans woman</w:t>
            </w:r>
          </w:p>
        </w:tc>
        <w:tc>
          <w:tcPr>
            <w:tcW w:w="3780" w:type="dxa"/>
            <w:tcBorders>
              <w:top w:val="nil"/>
              <w:left w:val="nil"/>
              <w:bottom w:val="single" w:sz="8" w:space="0" w:color="auto"/>
              <w:right w:val="single" w:sz="8" w:space="0" w:color="auto"/>
            </w:tcBorders>
          </w:tcPr>
          <w:p w14:paraId="14AE950E" w14:textId="2487F699" w:rsidR="00136ACD" w:rsidRDefault="00A05719" w:rsidP="00BE7DCA">
            <w:pPr>
              <w:spacing w:after="0" w:line="240" w:lineRule="auto"/>
              <w:rPr>
                <w:rFonts w:ascii="Calibri" w:eastAsia="Calibri" w:hAnsi="Calibri" w:cs="Calibri"/>
              </w:rPr>
            </w:pPr>
            <w:r>
              <w:rPr>
                <w:rFonts w:ascii="Calibri" w:eastAsia="Calibri" w:hAnsi="Calibri" w:cs="Calibri"/>
              </w:rPr>
              <w:t>This is stigmatizing language</w:t>
            </w:r>
            <w:r w:rsidR="005C2193">
              <w:rPr>
                <w:rFonts w:ascii="Calibri" w:eastAsia="Calibri" w:hAnsi="Calibri" w:cs="Calibri"/>
              </w:rPr>
              <w:t xml:space="preserve"> that</w:t>
            </w:r>
            <w:r w:rsidR="002638F0">
              <w:rPr>
                <w:rFonts w:ascii="Calibri" w:eastAsia="Calibri" w:hAnsi="Calibri" w:cs="Calibri"/>
              </w:rPr>
              <w:t xml:space="preserve"> emphasizes the past without acknowledging the present</w:t>
            </w:r>
          </w:p>
          <w:p w14:paraId="6730F889" w14:textId="6B7222D1" w:rsidR="00CD184B" w:rsidRDefault="00CD184B" w:rsidP="00BE7DCA">
            <w:pPr>
              <w:spacing w:after="0" w:line="240" w:lineRule="auto"/>
              <w:rPr>
                <w:rFonts w:ascii="Calibri" w:eastAsia="Calibri" w:hAnsi="Calibri" w:cs="Calibri"/>
              </w:rPr>
            </w:pPr>
          </w:p>
        </w:tc>
      </w:tr>
      <w:tr w:rsidR="00136ACD" w:rsidRPr="00377D2C" w14:paraId="5236B1A5" w14:textId="5CBBA058" w:rsidTr="00A46177">
        <w:tc>
          <w:tcPr>
            <w:tcW w:w="2557"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5D9DB4A1" w14:textId="77777777" w:rsidR="00136ACD" w:rsidRDefault="00136ACD" w:rsidP="00BE7DCA">
            <w:pPr>
              <w:spacing w:after="0" w:line="240" w:lineRule="auto"/>
              <w:rPr>
                <w:rFonts w:ascii="Calibri" w:eastAsia="Calibri" w:hAnsi="Calibri" w:cs="Calibri"/>
              </w:rPr>
            </w:pPr>
            <w:r>
              <w:rPr>
                <w:rFonts w:ascii="Calibri" w:eastAsia="Calibri" w:hAnsi="Calibri" w:cs="Calibri"/>
              </w:rPr>
              <w:t>Transgendering, sex change, pre-operative, post-operative, The surgery</w:t>
            </w:r>
          </w:p>
          <w:p w14:paraId="23CD95A5" w14:textId="5826A53B" w:rsidR="00136ACD" w:rsidRDefault="00136ACD" w:rsidP="00BE7DCA">
            <w:pPr>
              <w:spacing w:after="0" w:line="240" w:lineRule="auto"/>
              <w:rPr>
                <w:rFonts w:ascii="Calibri" w:eastAsia="Calibri" w:hAnsi="Calibri" w:cs="Calibri"/>
              </w:rPr>
            </w:pPr>
          </w:p>
        </w:tc>
        <w:tc>
          <w:tcPr>
            <w:tcW w:w="38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20F2A845" w14:textId="2B429682" w:rsidR="00136ACD" w:rsidRPr="00377D2C" w:rsidRDefault="00136ACD" w:rsidP="00377D2C">
            <w:pPr>
              <w:spacing w:after="0" w:line="240" w:lineRule="auto"/>
              <w:rPr>
                <w:rFonts w:ascii="Calibri" w:eastAsia="Calibri" w:hAnsi="Calibri" w:cs="Calibri"/>
              </w:rPr>
            </w:pPr>
            <w:r>
              <w:rPr>
                <w:rFonts w:ascii="Calibri" w:eastAsia="Calibri" w:hAnsi="Calibri" w:cs="Calibri"/>
              </w:rPr>
              <w:t>Gender affirmation, transition</w:t>
            </w:r>
            <w:r w:rsidR="00AB2540">
              <w:rPr>
                <w:rFonts w:ascii="Calibri" w:eastAsia="Calibri" w:hAnsi="Calibri" w:cs="Calibri"/>
              </w:rPr>
              <w:t xml:space="preserve">, </w:t>
            </w:r>
            <w:r>
              <w:rPr>
                <w:rFonts w:ascii="Calibri" w:eastAsia="Calibri" w:hAnsi="Calibri" w:cs="Calibri"/>
              </w:rPr>
              <w:t>or transitioning</w:t>
            </w:r>
          </w:p>
        </w:tc>
        <w:tc>
          <w:tcPr>
            <w:tcW w:w="3780" w:type="dxa"/>
            <w:tcBorders>
              <w:top w:val="nil"/>
              <w:left w:val="nil"/>
              <w:bottom w:val="single" w:sz="8" w:space="0" w:color="auto"/>
              <w:right w:val="single" w:sz="8" w:space="0" w:color="auto"/>
            </w:tcBorders>
            <w:shd w:val="clear" w:color="auto" w:fill="E7E6E6" w:themeFill="background2"/>
          </w:tcPr>
          <w:p w14:paraId="21F48E6B" w14:textId="496E6B8B" w:rsidR="00136ACD" w:rsidRDefault="00136ACD" w:rsidP="00377D2C">
            <w:pPr>
              <w:spacing w:after="0" w:line="240" w:lineRule="auto"/>
              <w:rPr>
                <w:rFonts w:ascii="Calibri" w:hAnsi="Calibri" w:cs="Calibri"/>
              </w:rPr>
            </w:pPr>
            <w:r>
              <w:rPr>
                <w:rFonts w:ascii="Calibri" w:hAnsi="Calibri" w:cs="Calibri"/>
              </w:rPr>
              <w:t xml:space="preserve">Gender affirmation and transition reflect the process someone goes through to receive </w:t>
            </w:r>
            <w:r w:rsidR="002638F0">
              <w:rPr>
                <w:rFonts w:ascii="Calibri" w:hAnsi="Calibri" w:cs="Calibri"/>
              </w:rPr>
              <w:t xml:space="preserve">personal and/or </w:t>
            </w:r>
            <w:r>
              <w:rPr>
                <w:rFonts w:ascii="Calibri" w:hAnsi="Calibri" w:cs="Calibri"/>
              </w:rPr>
              <w:t>social recognition and support for their gender identity and expression. This process can have social, legal, psychological and sometimes medical components</w:t>
            </w:r>
            <w:r w:rsidR="002638F0">
              <w:rPr>
                <w:rFonts w:ascii="Calibri" w:hAnsi="Calibri" w:cs="Calibri"/>
              </w:rPr>
              <w:t>.</w:t>
            </w:r>
          </w:p>
          <w:p w14:paraId="09670DD6" w14:textId="5A810047" w:rsidR="00A05719" w:rsidRDefault="00A05719" w:rsidP="00377D2C">
            <w:pPr>
              <w:spacing w:after="0" w:line="240" w:lineRule="auto"/>
              <w:rPr>
                <w:rFonts w:ascii="Calibri" w:eastAsia="Calibri" w:hAnsi="Calibri" w:cs="Calibri"/>
              </w:rPr>
            </w:pPr>
          </w:p>
        </w:tc>
      </w:tr>
    </w:tbl>
    <w:p w14:paraId="50EDD087" w14:textId="77777777" w:rsidR="00A46177" w:rsidRDefault="00A46177">
      <w:r>
        <w:br w:type="page"/>
      </w:r>
    </w:p>
    <w:tbl>
      <w:tblPr>
        <w:tblW w:w="10340" w:type="dxa"/>
        <w:tblCellMar>
          <w:left w:w="0" w:type="dxa"/>
          <w:right w:w="0" w:type="dxa"/>
        </w:tblCellMar>
        <w:tblLook w:val="04A0" w:firstRow="1" w:lastRow="0" w:firstColumn="1" w:lastColumn="0" w:noHBand="0" w:noVBand="1"/>
      </w:tblPr>
      <w:tblGrid>
        <w:gridCol w:w="2557"/>
        <w:gridCol w:w="3823"/>
        <w:gridCol w:w="3960"/>
      </w:tblGrid>
      <w:tr w:rsidR="00A46177" w:rsidRPr="00377D2C" w14:paraId="22E817F6" w14:textId="77777777" w:rsidTr="00EC199C">
        <w:tc>
          <w:tcPr>
            <w:tcW w:w="10340" w:type="dxa"/>
            <w:gridSpan w:val="3"/>
            <w:tcBorders>
              <w:bottom w:val="single" w:sz="8" w:space="0" w:color="auto"/>
            </w:tcBorders>
            <w:tcMar>
              <w:top w:w="0" w:type="dxa"/>
              <w:left w:w="108" w:type="dxa"/>
              <w:bottom w:w="0" w:type="dxa"/>
              <w:right w:w="108" w:type="dxa"/>
            </w:tcMar>
          </w:tcPr>
          <w:p w14:paraId="68BC2373" w14:textId="37D7827C" w:rsidR="00A46177" w:rsidRPr="00A846AC" w:rsidRDefault="00A46177" w:rsidP="00A46177">
            <w:pPr>
              <w:jc w:val="center"/>
            </w:pPr>
            <w:r>
              <w:rPr>
                <w:b/>
              </w:rPr>
              <w:lastRenderedPageBreak/>
              <w:t>Appendix A (continued)</w:t>
            </w:r>
          </w:p>
          <w:p w14:paraId="14A8D157" w14:textId="3DC6C9E5" w:rsidR="00A46177" w:rsidRPr="007624C7" w:rsidRDefault="00A46177" w:rsidP="00A46177">
            <w:pPr>
              <w:pStyle w:val="BodyText"/>
              <w:spacing w:before="39"/>
              <w:ind w:left="100"/>
              <w:jc w:val="center"/>
              <w:rPr>
                <w:b/>
              </w:rPr>
            </w:pPr>
            <w:r w:rsidRPr="007624C7">
              <w:rPr>
                <w:b/>
              </w:rPr>
              <w:t>Use of Non-Stigmatizing, Gender</w:t>
            </w:r>
            <w:r w:rsidR="0095642C">
              <w:rPr>
                <w:b/>
              </w:rPr>
              <w:t>-</w:t>
            </w:r>
            <w:r w:rsidRPr="007624C7">
              <w:rPr>
                <w:b/>
              </w:rPr>
              <w:t>Inclusive Language</w:t>
            </w:r>
          </w:p>
          <w:p w14:paraId="1A0091DA" w14:textId="77777777" w:rsidR="00A46177" w:rsidRPr="006E51A1" w:rsidRDefault="00A46177" w:rsidP="00377D2C">
            <w:pPr>
              <w:spacing w:after="0" w:line="240" w:lineRule="auto"/>
              <w:rPr>
                <w:rFonts w:eastAsia="Times New Roman" w:cs="Times New Roman"/>
                <w:color w:val="000000"/>
                <w:kern w:val="24"/>
              </w:rPr>
            </w:pPr>
          </w:p>
        </w:tc>
      </w:tr>
      <w:tr w:rsidR="001C5C8A" w:rsidRPr="00377D2C" w14:paraId="758E6D9A" w14:textId="77777777" w:rsidTr="00A05719">
        <w:tc>
          <w:tcPr>
            <w:tcW w:w="25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BB443D7" w14:textId="1287A00F" w:rsidR="001C5C8A" w:rsidRPr="001C5C8A" w:rsidRDefault="001C5C8A" w:rsidP="001C5C8A">
            <w:pPr>
              <w:spacing w:after="0" w:line="240" w:lineRule="auto"/>
              <w:jc w:val="center"/>
              <w:rPr>
                <w:rFonts w:ascii="Calibri" w:eastAsia="Calibri" w:hAnsi="Calibri" w:cs="Calibri"/>
                <w:b/>
              </w:rPr>
            </w:pPr>
            <w:r w:rsidRPr="001C5C8A">
              <w:rPr>
                <w:rFonts w:ascii="Calibri" w:eastAsia="Calibri" w:hAnsi="Calibri" w:cs="Calibri"/>
                <w:b/>
              </w:rPr>
              <w:t>Instead of….</w:t>
            </w:r>
          </w:p>
          <w:p w14:paraId="2F7B52BC" w14:textId="77777777" w:rsidR="001C5C8A" w:rsidRPr="001C5C8A" w:rsidRDefault="001C5C8A" w:rsidP="001C5C8A">
            <w:pPr>
              <w:spacing w:after="0" w:line="240" w:lineRule="auto"/>
              <w:jc w:val="center"/>
              <w:rPr>
                <w:rFonts w:ascii="Calibri" w:eastAsia="Calibri" w:hAnsi="Calibri" w:cs="Calibri"/>
                <w:b/>
              </w:rPr>
            </w:pPr>
          </w:p>
        </w:tc>
        <w:tc>
          <w:tcPr>
            <w:tcW w:w="382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21D156" w14:textId="6120402D" w:rsidR="001C5C8A" w:rsidRPr="001C5C8A" w:rsidRDefault="001C5C8A" w:rsidP="001C5C8A">
            <w:pPr>
              <w:spacing w:after="0" w:line="240" w:lineRule="auto"/>
              <w:jc w:val="center"/>
              <w:rPr>
                <w:rFonts w:ascii="Calibri" w:eastAsia="Calibri" w:hAnsi="Calibri" w:cs="Calibri"/>
                <w:b/>
              </w:rPr>
            </w:pPr>
            <w:r w:rsidRPr="001C5C8A">
              <w:rPr>
                <w:rFonts w:ascii="Calibri" w:eastAsia="Calibri" w:hAnsi="Calibri" w:cs="Calibri"/>
                <w:b/>
              </w:rPr>
              <w:t>Use….</w:t>
            </w:r>
          </w:p>
        </w:tc>
        <w:tc>
          <w:tcPr>
            <w:tcW w:w="3960" w:type="dxa"/>
            <w:tcBorders>
              <w:top w:val="single" w:sz="4" w:space="0" w:color="auto"/>
              <w:left w:val="nil"/>
              <w:bottom w:val="single" w:sz="8" w:space="0" w:color="auto"/>
              <w:right w:val="single" w:sz="8" w:space="0" w:color="auto"/>
            </w:tcBorders>
          </w:tcPr>
          <w:p w14:paraId="11689E52" w14:textId="6A064361" w:rsidR="001C5C8A" w:rsidRPr="001C5C8A" w:rsidRDefault="001C5C8A" w:rsidP="001C5C8A">
            <w:pPr>
              <w:spacing w:after="0" w:line="240" w:lineRule="auto"/>
              <w:jc w:val="center"/>
              <w:rPr>
                <w:rFonts w:eastAsia="Times New Roman" w:cs="Times New Roman"/>
                <w:b/>
                <w:color w:val="000000"/>
                <w:kern w:val="24"/>
              </w:rPr>
            </w:pPr>
            <w:r w:rsidRPr="001C5C8A">
              <w:rPr>
                <w:rFonts w:ascii="Calibri" w:eastAsia="Calibri" w:hAnsi="Calibri" w:cs="Calibri"/>
                <w:b/>
              </w:rPr>
              <w:t>Why….</w:t>
            </w:r>
          </w:p>
        </w:tc>
      </w:tr>
      <w:tr w:rsidR="00136ACD" w:rsidRPr="00377D2C" w14:paraId="77CCD41E" w14:textId="518A747A" w:rsidTr="00A05719">
        <w:tc>
          <w:tcPr>
            <w:tcW w:w="25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FDC840E" w14:textId="762051C4" w:rsidR="00136ACD" w:rsidRDefault="00136ACD" w:rsidP="00377D2C">
            <w:pPr>
              <w:spacing w:after="0" w:line="240" w:lineRule="auto"/>
              <w:rPr>
                <w:rFonts w:ascii="Calibri" w:eastAsia="Calibri" w:hAnsi="Calibri" w:cs="Calibri"/>
              </w:rPr>
            </w:pPr>
            <w:r>
              <w:rPr>
                <w:rFonts w:ascii="Calibri" w:eastAsia="Calibri" w:hAnsi="Calibri" w:cs="Calibri"/>
              </w:rPr>
              <w:t>Hermaphrodite</w:t>
            </w:r>
          </w:p>
          <w:p w14:paraId="1C254DF8" w14:textId="5999E469" w:rsidR="00136ACD" w:rsidRDefault="00136ACD" w:rsidP="00377D2C">
            <w:pPr>
              <w:spacing w:after="0" w:line="240" w:lineRule="auto"/>
              <w:rPr>
                <w:rFonts w:ascii="Calibri" w:eastAsia="Calibri" w:hAnsi="Calibri" w:cs="Calibri"/>
              </w:rPr>
            </w:pPr>
          </w:p>
        </w:tc>
        <w:tc>
          <w:tcPr>
            <w:tcW w:w="382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2CF6F0" w14:textId="0AB2990F" w:rsidR="00136ACD" w:rsidRPr="00377D2C" w:rsidRDefault="00136ACD" w:rsidP="00377D2C">
            <w:pPr>
              <w:spacing w:after="0" w:line="240" w:lineRule="auto"/>
              <w:rPr>
                <w:rFonts w:ascii="Calibri" w:eastAsia="Calibri" w:hAnsi="Calibri" w:cs="Calibri"/>
              </w:rPr>
            </w:pPr>
            <w:r>
              <w:rPr>
                <w:rFonts w:ascii="Calibri" w:eastAsia="Calibri" w:hAnsi="Calibri" w:cs="Calibri"/>
              </w:rPr>
              <w:t>Intersex person, person who is intersex</w:t>
            </w:r>
          </w:p>
        </w:tc>
        <w:tc>
          <w:tcPr>
            <w:tcW w:w="3960" w:type="dxa"/>
            <w:tcBorders>
              <w:top w:val="single" w:sz="4" w:space="0" w:color="auto"/>
              <w:left w:val="nil"/>
              <w:bottom w:val="single" w:sz="8" w:space="0" w:color="auto"/>
              <w:right w:val="single" w:sz="8" w:space="0" w:color="auto"/>
            </w:tcBorders>
          </w:tcPr>
          <w:p w14:paraId="3299F1FA" w14:textId="25620080" w:rsidR="00136ACD" w:rsidRDefault="0045049B" w:rsidP="00377D2C">
            <w:pPr>
              <w:spacing w:after="0" w:line="240" w:lineRule="auto"/>
              <w:rPr>
                <w:rFonts w:eastAsia="Times New Roman" w:cs="Times New Roman"/>
                <w:color w:val="000000"/>
                <w:kern w:val="24"/>
              </w:rPr>
            </w:pPr>
            <w:r w:rsidRPr="006E51A1">
              <w:rPr>
                <w:rFonts w:eastAsia="Times New Roman" w:cs="Times New Roman"/>
                <w:color w:val="000000"/>
                <w:kern w:val="24"/>
              </w:rPr>
              <w:t>Intersex is a term used for a variety of conditions in which a person is born with reproductive and/or sexual anatomy that doesn’t seem to fit the typical definitions of female or male.</w:t>
            </w:r>
            <w:r>
              <w:rPr>
                <w:rFonts w:eastAsia="Times New Roman" w:cs="Times New Roman"/>
                <w:color w:val="000000"/>
                <w:kern w:val="24"/>
              </w:rPr>
              <w:t xml:space="preserve"> </w:t>
            </w:r>
            <w:r w:rsidRPr="006E51A1">
              <w:rPr>
                <w:rFonts w:eastAsia="Times New Roman" w:cs="Times New Roman"/>
                <w:color w:val="000000"/>
                <w:kern w:val="24"/>
              </w:rPr>
              <w:t>The Intersex Society of North America recommend</w:t>
            </w:r>
            <w:r>
              <w:rPr>
                <w:rFonts w:eastAsia="Times New Roman" w:cs="Times New Roman"/>
                <w:color w:val="000000"/>
                <w:kern w:val="24"/>
              </w:rPr>
              <w:t>ed</w:t>
            </w:r>
            <w:r w:rsidRPr="006E51A1">
              <w:rPr>
                <w:rFonts w:eastAsia="Times New Roman" w:cs="Times New Roman"/>
                <w:color w:val="000000"/>
                <w:kern w:val="24"/>
              </w:rPr>
              <w:t xml:space="preserve"> against using the term </w:t>
            </w:r>
            <w:r w:rsidRPr="006E51A1">
              <w:rPr>
                <w:rFonts w:eastAsia="Times New Roman" w:cs="Times New Roman"/>
                <w:i/>
                <w:iCs/>
                <w:color w:val="000000"/>
                <w:kern w:val="24"/>
              </w:rPr>
              <w:t>hermaphrodite</w:t>
            </w:r>
            <w:r w:rsidRPr="006E51A1">
              <w:rPr>
                <w:rFonts w:eastAsia="Times New Roman" w:cs="Times New Roman"/>
                <w:color w:val="000000"/>
                <w:kern w:val="24"/>
              </w:rPr>
              <w:t xml:space="preserve"> since it fails to reflect modern scientific understandings of intersex</w:t>
            </w:r>
            <w:r>
              <w:rPr>
                <w:rFonts w:eastAsia="Times New Roman" w:cs="Times New Roman"/>
                <w:color w:val="000000"/>
                <w:kern w:val="24"/>
              </w:rPr>
              <w:t xml:space="preserve"> </w:t>
            </w:r>
            <w:r w:rsidR="002638F0">
              <w:rPr>
                <w:rFonts w:eastAsia="Times New Roman" w:cs="Times New Roman"/>
                <w:color w:val="000000"/>
                <w:kern w:val="24"/>
              </w:rPr>
              <w:t xml:space="preserve">conditions </w:t>
            </w:r>
            <w:r>
              <w:rPr>
                <w:rFonts w:eastAsia="Times New Roman" w:cs="Times New Roman"/>
                <w:color w:val="000000"/>
                <w:kern w:val="24"/>
              </w:rPr>
              <w:t>and is both misleading and stigmatizing</w:t>
            </w:r>
            <w:r w:rsidR="002638F0">
              <w:rPr>
                <w:rFonts w:eastAsia="Times New Roman" w:cs="Times New Roman"/>
                <w:color w:val="000000"/>
                <w:kern w:val="24"/>
              </w:rPr>
              <w:t>.</w:t>
            </w:r>
          </w:p>
          <w:p w14:paraId="5EC7390E" w14:textId="78A02435" w:rsidR="00A05719" w:rsidRDefault="00A05719" w:rsidP="00377D2C">
            <w:pPr>
              <w:spacing w:after="0" w:line="240" w:lineRule="auto"/>
              <w:rPr>
                <w:rFonts w:ascii="Calibri" w:eastAsia="Calibri" w:hAnsi="Calibri" w:cs="Calibri"/>
              </w:rPr>
            </w:pPr>
          </w:p>
        </w:tc>
      </w:tr>
      <w:tr w:rsidR="00136ACD" w:rsidRPr="00377D2C" w14:paraId="776EC3C0" w14:textId="1BE4B856" w:rsidTr="00A05719">
        <w:tc>
          <w:tcPr>
            <w:tcW w:w="2557"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1122B727" w14:textId="01BFAD5F" w:rsidR="00136ACD" w:rsidRDefault="00136ACD" w:rsidP="00377D2C">
            <w:pPr>
              <w:spacing w:after="0" w:line="240" w:lineRule="auto"/>
              <w:rPr>
                <w:rFonts w:ascii="Calibri" w:eastAsia="Calibri" w:hAnsi="Calibri" w:cs="Calibri"/>
              </w:rPr>
            </w:pPr>
            <w:r>
              <w:rPr>
                <w:rFonts w:ascii="Calibri" w:eastAsia="Calibri" w:hAnsi="Calibri" w:cs="Calibri"/>
              </w:rPr>
              <w:t>Sexual preference</w:t>
            </w:r>
          </w:p>
        </w:tc>
        <w:tc>
          <w:tcPr>
            <w:tcW w:w="38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1FAE01F0" w14:textId="77777777" w:rsidR="00136ACD" w:rsidRDefault="00136ACD" w:rsidP="00377D2C">
            <w:pPr>
              <w:spacing w:after="0" w:line="240" w:lineRule="auto"/>
              <w:rPr>
                <w:rFonts w:ascii="Calibri" w:eastAsia="Calibri" w:hAnsi="Calibri" w:cs="Calibri"/>
              </w:rPr>
            </w:pPr>
            <w:r>
              <w:rPr>
                <w:rFonts w:ascii="Calibri" w:eastAsia="Calibri" w:hAnsi="Calibri" w:cs="Calibri"/>
              </w:rPr>
              <w:t>Sexual orientation</w:t>
            </w:r>
          </w:p>
          <w:p w14:paraId="7BD90657" w14:textId="7816D9CA" w:rsidR="00136ACD" w:rsidRPr="00377D2C" w:rsidRDefault="00136ACD" w:rsidP="00377D2C">
            <w:pPr>
              <w:spacing w:after="0" w:line="240" w:lineRule="auto"/>
              <w:rPr>
                <w:rFonts w:ascii="Calibri" w:eastAsia="Calibri" w:hAnsi="Calibri" w:cs="Calibri"/>
              </w:rPr>
            </w:pPr>
          </w:p>
        </w:tc>
        <w:tc>
          <w:tcPr>
            <w:tcW w:w="3960" w:type="dxa"/>
            <w:tcBorders>
              <w:top w:val="nil"/>
              <w:left w:val="nil"/>
              <w:bottom w:val="single" w:sz="8" w:space="0" w:color="auto"/>
              <w:right w:val="single" w:sz="8" w:space="0" w:color="auto"/>
            </w:tcBorders>
            <w:shd w:val="clear" w:color="auto" w:fill="E7E6E6" w:themeFill="background2"/>
          </w:tcPr>
          <w:p w14:paraId="37A6B40F" w14:textId="77777777" w:rsidR="00136ACD" w:rsidRDefault="00A46177" w:rsidP="00377D2C">
            <w:pPr>
              <w:spacing w:after="0" w:line="240" w:lineRule="auto"/>
              <w:rPr>
                <w:rFonts w:ascii="Calibri" w:hAnsi="Calibri" w:cs="Calibri"/>
              </w:rPr>
            </w:pPr>
            <w:r>
              <w:rPr>
                <w:rFonts w:ascii="Calibri" w:hAnsi="Calibri" w:cs="Calibri"/>
              </w:rPr>
              <w:t>“Preference” suggests that non-heterosexuality is a choice</w:t>
            </w:r>
          </w:p>
          <w:p w14:paraId="4D65F503" w14:textId="22948B0A" w:rsidR="00A05719" w:rsidRDefault="00A05719" w:rsidP="00377D2C">
            <w:pPr>
              <w:spacing w:after="0" w:line="240" w:lineRule="auto"/>
              <w:rPr>
                <w:rFonts w:ascii="Calibri" w:eastAsia="Calibri" w:hAnsi="Calibri" w:cs="Calibri"/>
              </w:rPr>
            </w:pPr>
          </w:p>
        </w:tc>
      </w:tr>
      <w:tr w:rsidR="00136ACD" w:rsidRPr="00377D2C" w14:paraId="4641E073" w14:textId="5B7547A2" w:rsidTr="00A05719">
        <w:tc>
          <w:tcPr>
            <w:tcW w:w="2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11990" w14:textId="24533CB5" w:rsidR="00136ACD" w:rsidRPr="00377D2C" w:rsidRDefault="00136ACD" w:rsidP="00377D2C">
            <w:pPr>
              <w:spacing w:after="0" w:line="240" w:lineRule="auto"/>
              <w:rPr>
                <w:rFonts w:ascii="Calibri" w:eastAsia="Calibri" w:hAnsi="Calibri" w:cs="Calibri"/>
              </w:rPr>
            </w:pPr>
            <w:r>
              <w:rPr>
                <w:rFonts w:ascii="Calibri" w:eastAsia="Calibri" w:hAnsi="Calibri" w:cs="Calibri"/>
              </w:rPr>
              <w:t>W</w:t>
            </w:r>
            <w:r w:rsidRPr="00377D2C">
              <w:rPr>
                <w:rFonts w:ascii="Calibri" w:eastAsia="Calibri" w:hAnsi="Calibri" w:cs="Calibri"/>
              </w:rPr>
              <w:t xml:space="preserve">omen of childbearing potential  </w:t>
            </w:r>
          </w:p>
        </w:tc>
        <w:tc>
          <w:tcPr>
            <w:tcW w:w="3823" w:type="dxa"/>
            <w:tcBorders>
              <w:top w:val="nil"/>
              <w:left w:val="nil"/>
              <w:bottom w:val="single" w:sz="8" w:space="0" w:color="auto"/>
              <w:right w:val="single" w:sz="8" w:space="0" w:color="auto"/>
            </w:tcBorders>
            <w:tcMar>
              <w:top w:w="0" w:type="dxa"/>
              <w:left w:w="108" w:type="dxa"/>
              <w:bottom w:w="0" w:type="dxa"/>
              <w:right w:w="108" w:type="dxa"/>
            </w:tcMar>
            <w:hideMark/>
          </w:tcPr>
          <w:p w14:paraId="462B0CEE" w14:textId="6E11BFC4" w:rsidR="00136ACD" w:rsidRDefault="00136ACD" w:rsidP="00377D2C">
            <w:pPr>
              <w:spacing w:after="0" w:line="240" w:lineRule="auto"/>
              <w:rPr>
                <w:rFonts w:ascii="Calibri" w:eastAsia="Calibri" w:hAnsi="Calibri" w:cs="Calibri"/>
              </w:rPr>
            </w:pPr>
            <w:r w:rsidRPr="00377D2C">
              <w:rPr>
                <w:rFonts w:ascii="Calibri" w:eastAsia="Calibri" w:hAnsi="Calibri" w:cs="Calibri"/>
              </w:rPr>
              <w:t>Individuals</w:t>
            </w:r>
            <w:r>
              <w:rPr>
                <w:rFonts w:ascii="Calibri" w:eastAsia="Calibri" w:hAnsi="Calibri" w:cs="Calibri"/>
              </w:rPr>
              <w:t xml:space="preserve"> or people</w:t>
            </w:r>
            <w:r w:rsidRPr="00377D2C">
              <w:rPr>
                <w:rFonts w:ascii="Calibri" w:eastAsia="Calibri" w:hAnsi="Calibri" w:cs="Calibri"/>
              </w:rPr>
              <w:t xml:space="preserve"> of childbearing potential</w:t>
            </w:r>
            <w:r>
              <w:rPr>
                <w:rFonts w:ascii="Calibri" w:eastAsia="Calibri" w:hAnsi="Calibri" w:cs="Calibri"/>
              </w:rPr>
              <w:t xml:space="preserve"> </w:t>
            </w:r>
          </w:p>
          <w:p w14:paraId="39F6C448" w14:textId="77777777" w:rsidR="00136ACD" w:rsidRDefault="00136ACD" w:rsidP="00377D2C">
            <w:pPr>
              <w:spacing w:after="0" w:line="240" w:lineRule="auto"/>
              <w:rPr>
                <w:rFonts w:ascii="Calibri" w:eastAsia="Calibri" w:hAnsi="Calibri" w:cs="Calibri"/>
              </w:rPr>
            </w:pPr>
          </w:p>
          <w:p w14:paraId="2F5E6A6D" w14:textId="7B88B23F" w:rsidR="00136ACD" w:rsidRPr="00377D2C" w:rsidRDefault="00136ACD" w:rsidP="00377D2C">
            <w:pPr>
              <w:spacing w:after="0" w:line="240" w:lineRule="auto"/>
              <w:rPr>
                <w:rFonts w:ascii="Calibri" w:eastAsia="Calibri" w:hAnsi="Calibri" w:cs="Calibri"/>
              </w:rPr>
            </w:pPr>
          </w:p>
        </w:tc>
        <w:tc>
          <w:tcPr>
            <w:tcW w:w="3960" w:type="dxa"/>
            <w:tcBorders>
              <w:top w:val="nil"/>
              <w:left w:val="nil"/>
              <w:bottom w:val="single" w:sz="8" w:space="0" w:color="auto"/>
              <w:right w:val="single" w:sz="8" w:space="0" w:color="auto"/>
            </w:tcBorders>
          </w:tcPr>
          <w:p w14:paraId="5AEEB3ED" w14:textId="11566A7C" w:rsidR="00136ACD" w:rsidRPr="00377D2C" w:rsidRDefault="00A46177" w:rsidP="00377D2C">
            <w:pPr>
              <w:spacing w:after="0" w:line="240" w:lineRule="auto"/>
              <w:rPr>
                <w:rFonts w:ascii="Calibri" w:eastAsia="Calibri" w:hAnsi="Calibri" w:cs="Calibri"/>
              </w:rPr>
            </w:pPr>
            <w:r>
              <w:rPr>
                <w:rFonts w:ascii="Calibri" w:hAnsi="Calibri" w:cs="Calibri"/>
              </w:rPr>
              <w:t>People of all genders may have childbearing potential</w:t>
            </w:r>
          </w:p>
        </w:tc>
      </w:tr>
      <w:tr w:rsidR="00136ACD" w:rsidRPr="00377D2C" w14:paraId="60F2EEAB" w14:textId="12796038" w:rsidTr="00A05719">
        <w:tc>
          <w:tcPr>
            <w:tcW w:w="2557" w:type="dxa"/>
            <w:tcBorders>
              <w:top w:val="single" w:sz="4"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4C72C4" w14:textId="2545FFB3" w:rsidR="00136ACD" w:rsidRPr="00377D2C" w:rsidRDefault="00136ACD" w:rsidP="00377D2C">
            <w:pPr>
              <w:spacing w:after="0" w:line="240" w:lineRule="auto"/>
              <w:rPr>
                <w:rFonts w:ascii="Calibri" w:eastAsia="Calibri" w:hAnsi="Calibri" w:cs="Calibri"/>
              </w:rPr>
            </w:pPr>
            <w:r>
              <w:rPr>
                <w:rFonts w:ascii="Calibri" w:eastAsia="Calibri" w:hAnsi="Calibri" w:cs="Calibri"/>
              </w:rPr>
              <w:t>M</w:t>
            </w:r>
            <w:r w:rsidRPr="00377D2C">
              <w:rPr>
                <w:rFonts w:ascii="Calibri" w:eastAsia="Calibri" w:hAnsi="Calibri" w:cs="Calibri"/>
              </w:rPr>
              <w:t xml:space="preserve">en with reproductive potential </w:t>
            </w:r>
          </w:p>
        </w:tc>
        <w:tc>
          <w:tcPr>
            <w:tcW w:w="3823" w:type="dxa"/>
            <w:tcBorders>
              <w:top w:val="single" w:sz="4"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34EF7C5" w14:textId="4AD4BE38" w:rsidR="00136ACD" w:rsidRDefault="00136ACD" w:rsidP="00377D2C">
            <w:pPr>
              <w:spacing w:after="0" w:line="240" w:lineRule="auto"/>
              <w:rPr>
                <w:rFonts w:ascii="Calibri" w:eastAsia="Calibri" w:hAnsi="Calibri" w:cs="Calibri"/>
              </w:rPr>
            </w:pPr>
            <w:r>
              <w:rPr>
                <w:rFonts w:ascii="Calibri" w:eastAsia="Calibri" w:hAnsi="Calibri" w:cs="Calibri"/>
              </w:rPr>
              <w:t>P</w:t>
            </w:r>
            <w:r w:rsidRPr="00377D2C">
              <w:rPr>
                <w:rFonts w:ascii="Calibri" w:eastAsia="Calibri" w:hAnsi="Calibri" w:cs="Calibri"/>
              </w:rPr>
              <w:t xml:space="preserve">eople with reproductive potential </w:t>
            </w:r>
          </w:p>
          <w:p w14:paraId="5E924FCC" w14:textId="77777777" w:rsidR="00136ACD" w:rsidRDefault="00136ACD" w:rsidP="00377D2C">
            <w:pPr>
              <w:spacing w:after="0" w:line="240" w:lineRule="auto"/>
              <w:rPr>
                <w:rFonts w:ascii="Calibri" w:eastAsia="Calibri" w:hAnsi="Calibri" w:cs="Calibri"/>
              </w:rPr>
            </w:pPr>
          </w:p>
          <w:p w14:paraId="57DBC4FC" w14:textId="7C9BE28B" w:rsidR="00136ACD" w:rsidRPr="00377D2C" w:rsidRDefault="00136ACD" w:rsidP="00377D2C">
            <w:pPr>
              <w:spacing w:after="0" w:line="240" w:lineRule="auto"/>
              <w:rPr>
                <w:rFonts w:ascii="Calibri" w:eastAsia="Calibri" w:hAnsi="Calibri" w:cs="Calibri"/>
              </w:rPr>
            </w:pPr>
          </w:p>
        </w:tc>
        <w:tc>
          <w:tcPr>
            <w:tcW w:w="3960" w:type="dxa"/>
            <w:tcBorders>
              <w:top w:val="single" w:sz="4" w:space="0" w:color="auto"/>
              <w:left w:val="nil"/>
              <w:bottom w:val="single" w:sz="8" w:space="0" w:color="auto"/>
              <w:right w:val="single" w:sz="8" w:space="0" w:color="auto"/>
            </w:tcBorders>
            <w:shd w:val="clear" w:color="auto" w:fill="E7E6E6" w:themeFill="background2"/>
          </w:tcPr>
          <w:p w14:paraId="3EEADB27" w14:textId="787867B0" w:rsidR="00136ACD" w:rsidRDefault="00A46177" w:rsidP="00377D2C">
            <w:pPr>
              <w:spacing w:after="0" w:line="240" w:lineRule="auto"/>
              <w:rPr>
                <w:rFonts w:ascii="Calibri" w:hAnsi="Calibri" w:cs="Calibri"/>
              </w:rPr>
            </w:pPr>
            <w:r>
              <w:rPr>
                <w:rFonts w:ascii="Calibri" w:hAnsi="Calibri" w:cs="Calibri"/>
              </w:rPr>
              <w:t xml:space="preserve">People of all genders may have </w:t>
            </w:r>
            <w:r w:rsidR="002638F0">
              <w:rPr>
                <w:rFonts w:ascii="Calibri" w:hAnsi="Calibri" w:cs="Calibri"/>
              </w:rPr>
              <w:t xml:space="preserve">reproductive </w:t>
            </w:r>
            <w:r>
              <w:rPr>
                <w:rFonts w:ascii="Calibri" w:hAnsi="Calibri" w:cs="Calibri"/>
              </w:rPr>
              <w:t>potential</w:t>
            </w:r>
          </w:p>
          <w:p w14:paraId="5265EE33" w14:textId="1A68BB6C" w:rsidR="00A05719" w:rsidRDefault="00A05719" w:rsidP="00377D2C">
            <w:pPr>
              <w:spacing w:after="0" w:line="240" w:lineRule="auto"/>
              <w:rPr>
                <w:rFonts w:ascii="Calibri" w:eastAsia="Calibri" w:hAnsi="Calibri" w:cs="Calibri"/>
              </w:rPr>
            </w:pPr>
          </w:p>
        </w:tc>
      </w:tr>
      <w:tr w:rsidR="00136ACD" w:rsidRPr="00377D2C" w14:paraId="27941021" w14:textId="2B6FF784" w:rsidTr="00A05719">
        <w:tc>
          <w:tcPr>
            <w:tcW w:w="2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AF1E8" w14:textId="29EEA856" w:rsidR="00136ACD" w:rsidRPr="00377D2C" w:rsidRDefault="002638F0" w:rsidP="00377D2C">
            <w:pPr>
              <w:spacing w:after="0" w:line="240" w:lineRule="auto"/>
              <w:rPr>
                <w:rFonts w:ascii="Calibri" w:eastAsia="Calibri" w:hAnsi="Calibri" w:cs="Calibri"/>
              </w:rPr>
            </w:pPr>
            <w:r>
              <w:rPr>
                <w:rFonts w:ascii="Calibri" w:eastAsia="Calibri" w:hAnsi="Calibri" w:cs="Calibri"/>
              </w:rPr>
              <w:t>[</w:t>
            </w:r>
            <w:r w:rsidR="00136ACD">
              <w:rPr>
                <w:rFonts w:ascii="Calibri" w:eastAsia="Calibri" w:hAnsi="Calibri" w:cs="Calibri"/>
              </w:rPr>
              <w:t>Women</w:t>
            </w:r>
            <w:r w:rsidR="00136ACD" w:rsidRPr="00377D2C">
              <w:rPr>
                <w:rFonts w:ascii="Calibri" w:eastAsia="Calibri" w:hAnsi="Calibri" w:cs="Calibri"/>
              </w:rPr>
              <w:t xml:space="preserve"> or men</w:t>
            </w:r>
            <w:r>
              <w:rPr>
                <w:rFonts w:ascii="Calibri" w:eastAsia="Calibri" w:hAnsi="Calibri" w:cs="Calibri"/>
              </w:rPr>
              <w:t>]</w:t>
            </w:r>
            <w:r w:rsidR="00136ACD" w:rsidRPr="00377D2C">
              <w:rPr>
                <w:rFonts w:ascii="Calibri" w:eastAsia="Calibri" w:hAnsi="Calibri" w:cs="Calibri"/>
              </w:rPr>
              <w:t xml:space="preserve"> who have sex with men</w:t>
            </w:r>
          </w:p>
        </w:tc>
        <w:tc>
          <w:tcPr>
            <w:tcW w:w="3823" w:type="dxa"/>
            <w:tcBorders>
              <w:top w:val="nil"/>
              <w:left w:val="nil"/>
              <w:bottom w:val="single" w:sz="8" w:space="0" w:color="auto"/>
              <w:right w:val="single" w:sz="8" w:space="0" w:color="auto"/>
            </w:tcBorders>
            <w:tcMar>
              <w:top w:w="0" w:type="dxa"/>
              <w:left w:w="108" w:type="dxa"/>
              <w:bottom w:w="0" w:type="dxa"/>
              <w:right w:w="108" w:type="dxa"/>
            </w:tcMar>
            <w:hideMark/>
          </w:tcPr>
          <w:p w14:paraId="66F03269" w14:textId="01C48038" w:rsidR="00136ACD" w:rsidRDefault="002638F0" w:rsidP="00377D2C">
            <w:pPr>
              <w:spacing w:after="0" w:line="240" w:lineRule="auto"/>
              <w:rPr>
                <w:rFonts w:ascii="Calibri" w:eastAsia="Calibri" w:hAnsi="Calibri" w:cs="Calibri"/>
              </w:rPr>
            </w:pPr>
            <w:r>
              <w:rPr>
                <w:rFonts w:ascii="Calibri" w:eastAsia="Calibri" w:hAnsi="Calibri" w:cs="Calibri"/>
              </w:rPr>
              <w:t>[</w:t>
            </w:r>
            <w:r w:rsidR="00136ACD">
              <w:rPr>
                <w:rFonts w:ascii="Calibri" w:eastAsia="Calibri" w:hAnsi="Calibri" w:cs="Calibri"/>
              </w:rPr>
              <w:t>C</w:t>
            </w:r>
            <w:r w:rsidR="00136ACD" w:rsidRPr="00377D2C">
              <w:rPr>
                <w:rFonts w:ascii="Calibri" w:eastAsia="Calibri" w:hAnsi="Calibri" w:cs="Calibri"/>
              </w:rPr>
              <w:t xml:space="preserve">isgender women, cisgender men, transgender women, transgender </w:t>
            </w:r>
            <w:r w:rsidR="001C5C8A" w:rsidRPr="00377D2C">
              <w:rPr>
                <w:rFonts w:ascii="Calibri" w:eastAsia="Calibri" w:hAnsi="Calibri" w:cs="Calibri"/>
              </w:rPr>
              <w:t>men</w:t>
            </w:r>
            <w:r w:rsidR="001C5C8A">
              <w:rPr>
                <w:rFonts w:ascii="Calibri" w:eastAsia="Calibri" w:hAnsi="Calibri" w:cs="Calibri"/>
              </w:rPr>
              <w:t xml:space="preserve">, </w:t>
            </w:r>
            <w:r w:rsidR="001C5C8A" w:rsidRPr="00377D2C">
              <w:rPr>
                <w:rFonts w:ascii="Calibri" w:eastAsia="Calibri" w:hAnsi="Calibri" w:cs="Calibri"/>
              </w:rPr>
              <w:t>transgender</w:t>
            </w:r>
            <w:r w:rsidR="00136ACD" w:rsidRPr="00377D2C">
              <w:rPr>
                <w:rFonts w:ascii="Calibri" w:eastAsia="Calibri" w:hAnsi="Calibri" w:cs="Calibri"/>
              </w:rPr>
              <w:t xml:space="preserve"> people</w:t>
            </w:r>
            <w:r w:rsidR="001C5C8A">
              <w:rPr>
                <w:rFonts w:ascii="Calibri" w:eastAsia="Calibri" w:hAnsi="Calibri" w:cs="Calibri"/>
              </w:rPr>
              <w:t xml:space="preserve"> or more broadly, individuals</w:t>
            </w:r>
            <w:r>
              <w:rPr>
                <w:rFonts w:ascii="Calibri" w:eastAsia="Calibri" w:hAnsi="Calibri" w:cs="Calibri"/>
              </w:rPr>
              <w:t>]</w:t>
            </w:r>
            <w:r w:rsidR="00136ACD" w:rsidRPr="00377D2C">
              <w:rPr>
                <w:rFonts w:ascii="Calibri" w:eastAsia="Calibri" w:hAnsi="Calibri" w:cs="Calibri"/>
              </w:rPr>
              <w:t xml:space="preserve"> who have sex with </w:t>
            </w:r>
            <w:r>
              <w:rPr>
                <w:rFonts w:ascii="Calibri" w:eastAsia="Calibri" w:hAnsi="Calibri" w:cs="Calibri"/>
              </w:rPr>
              <w:t>[</w:t>
            </w:r>
            <w:r w:rsidR="00136ACD" w:rsidRPr="00377D2C">
              <w:rPr>
                <w:rFonts w:ascii="Calibri" w:eastAsia="Calibri" w:hAnsi="Calibri" w:cs="Calibri"/>
              </w:rPr>
              <w:t xml:space="preserve">cisgender </w:t>
            </w:r>
            <w:r>
              <w:rPr>
                <w:rFonts w:ascii="Calibri" w:eastAsia="Calibri" w:hAnsi="Calibri" w:cs="Calibri"/>
              </w:rPr>
              <w:t xml:space="preserve">or transgender </w:t>
            </w:r>
            <w:r w:rsidR="00136ACD" w:rsidRPr="00377D2C">
              <w:rPr>
                <w:rFonts w:ascii="Calibri" w:eastAsia="Calibri" w:hAnsi="Calibri" w:cs="Calibri"/>
              </w:rPr>
              <w:t>men</w:t>
            </w:r>
            <w:r>
              <w:rPr>
                <w:rFonts w:ascii="Calibri" w:eastAsia="Calibri" w:hAnsi="Calibri" w:cs="Calibri"/>
              </w:rPr>
              <w:t>]</w:t>
            </w:r>
          </w:p>
          <w:p w14:paraId="1167C33B" w14:textId="77777777" w:rsidR="00136ACD" w:rsidRDefault="00136ACD" w:rsidP="00377D2C">
            <w:pPr>
              <w:spacing w:after="0" w:line="240" w:lineRule="auto"/>
              <w:rPr>
                <w:rFonts w:ascii="Calibri" w:eastAsia="Calibri" w:hAnsi="Calibri" w:cs="Calibri"/>
              </w:rPr>
            </w:pPr>
          </w:p>
          <w:p w14:paraId="38DF3EAD" w14:textId="3A3A0BA8" w:rsidR="00136ACD" w:rsidRPr="00377D2C" w:rsidRDefault="00136ACD" w:rsidP="00377D2C">
            <w:pPr>
              <w:spacing w:after="0" w:line="240" w:lineRule="auto"/>
              <w:rPr>
                <w:rFonts w:ascii="Calibri" w:eastAsia="Calibri" w:hAnsi="Calibri" w:cs="Calibri"/>
              </w:rPr>
            </w:pPr>
          </w:p>
        </w:tc>
        <w:tc>
          <w:tcPr>
            <w:tcW w:w="3960" w:type="dxa"/>
            <w:tcBorders>
              <w:top w:val="nil"/>
              <w:left w:val="nil"/>
              <w:bottom w:val="single" w:sz="8" w:space="0" w:color="auto"/>
              <w:right w:val="single" w:sz="8" w:space="0" w:color="auto"/>
            </w:tcBorders>
          </w:tcPr>
          <w:p w14:paraId="57D43016" w14:textId="622D7401" w:rsidR="00A46177" w:rsidRPr="00A46177" w:rsidRDefault="00A46177" w:rsidP="00A46177">
            <w:pPr>
              <w:rPr>
                <w:rFonts w:ascii="Calibri" w:eastAsia="Calibri" w:hAnsi="Calibri" w:cs="Calibri"/>
              </w:rPr>
            </w:pPr>
            <w:r>
              <w:rPr>
                <w:rFonts w:ascii="Calibri" w:hAnsi="Calibri" w:cs="Calibri"/>
              </w:rPr>
              <w:t xml:space="preserve">Using “men and women” as a proxy for “everyone” excludes </w:t>
            </w:r>
            <w:r w:rsidR="00A05719">
              <w:rPr>
                <w:rFonts w:ascii="Calibri" w:hAnsi="Calibri" w:cs="Calibri"/>
              </w:rPr>
              <w:t xml:space="preserve">people who identify as </w:t>
            </w:r>
            <w:r>
              <w:rPr>
                <w:rFonts w:ascii="Calibri" w:hAnsi="Calibri" w:cs="Calibri"/>
              </w:rPr>
              <w:t>transgender, non</w:t>
            </w:r>
            <w:r w:rsidR="00A05719">
              <w:rPr>
                <w:rFonts w:ascii="Calibri" w:hAnsi="Calibri" w:cs="Calibri"/>
              </w:rPr>
              <w:t>-</w:t>
            </w:r>
            <w:r>
              <w:rPr>
                <w:rFonts w:ascii="Calibri" w:hAnsi="Calibri" w:cs="Calibri"/>
              </w:rPr>
              <w:t>binary</w:t>
            </w:r>
            <w:r w:rsidR="00AB2540">
              <w:rPr>
                <w:rFonts w:ascii="Calibri" w:hAnsi="Calibri" w:cs="Calibri"/>
              </w:rPr>
              <w:t>,</w:t>
            </w:r>
            <w:r w:rsidR="00A05719">
              <w:rPr>
                <w:rFonts w:ascii="Calibri" w:hAnsi="Calibri" w:cs="Calibri"/>
              </w:rPr>
              <w:t xml:space="preserve"> </w:t>
            </w:r>
            <w:r>
              <w:rPr>
                <w:rFonts w:ascii="Calibri" w:hAnsi="Calibri" w:cs="Calibri"/>
              </w:rPr>
              <w:t xml:space="preserve">and </w:t>
            </w:r>
            <w:r w:rsidR="00A05719">
              <w:rPr>
                <w:rFonts w:ascii="Calibri" w:hAnsi="Calibri" w:cs="Calibri"/>
              </w:rPr>
              <w:t>other gender identities</w:t>
            </w:r>
            <w:r w:rsidR="002638F0">
              <w:rPr>
                <w:rFonts w:ascii="Calibri" w:hAnsi="Calibri" w:cs="Calibri"/>
              </w:rPr>
              <w:t>. It is also necessary to specify the gender identity of sexual partners.</w:t>
            </w:r>
          </w:p>
        </w:tc>
      </w:tr>
      <w:tr w:rsidR="00AB2540" w:rsidRPr="00377D2C" w14:paraId="1AE52B86" w14:textId="024599F5" w:rsidTr="00A05719">
        <w:tc>
          <w:tcPr>
            <w:tcW w:w="2557"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F9033FC" w14:textId="77777777" w:rsidR="00AB2540" w:rsidRDefault="00AB2540" w:rsidP="00AB2540">
            <w:pPr>
              <w:spacing w:after="0" w:line="240" w:lineRule="auto"/>
              <w:rPr>
                <w:rFonts w:ascii="Calibri" w:eastAsia="Calibri" w:hAnsi="Calibri" w:cs="Calibri"/>
              </w:rPr>
            </w:pPr>
            <w:r>
              <w:rPr>
                <w:rFonts w:ascii="Calibri" w:eastAsia="Calibri" w:hAnsi="Calibri" w:cs="Calibri"/>
              </w:rPr>
              <w:t>M</w:t>
            </w:r>
            <w:r w:rsidRPr="00377D2C">
              <w:rPr>
                <w:rFonts w:ascii="Calibri" w:eastAsia="Calibri" w:hAnsi="Calibri" w:cs="Calibri"/>
              </w:rPr>
              <w:t xml:space="preserve">en or women over </w:t>
            </w:r>
            <w:r>
              <w:rPr>
                <w:rFonts w:ascii="Calibri" w:eastAsia="Calibri" w:hAnsi="Calibri" w:cs="Calibri"/>
              </w:rPr>
              <w:t>X</w:t>
            </w:r>
            <w:r w:rsidRPr="00377D2C">
              <w:rPr>
                <w:rFonts w:ascii="Calibri" w:eastAsia="Calibri" w:hAnsi="Calibri" w:cs="Calibri"/>
              </w:rPr>
              <w:t xml:space="preserve"> years of age</w:t>
            </w:r>
          </w:p>
          <w:p w14:paraId="763B8F63" w14:textId="77777777" w:rsidR="00AB2540" w:rsidRPr="00377D2C" w:rsidRDefault="00AB2540" w:rsidP="00AB2540">
            <w:pPr>
              <w:spacing w:after="0" w:line="240" w:lineRule="auto"/>
              <w:rPr>
                <w:rFonts w:ascii="Calibri" w:eastAsia="Calibri" w:hAnsi="Calibri" w:cs="Calibri"/>
              </w:rPr>
            </w:pPr>
          </w:p>
        </w:tc>
        <w:tc>
          <w:tcPr>
            <w:tcW w:w="382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28676D0" w14:textId="2E0C1CB4" w:rsidR="00AB2540" w:rsidRDefault="00AB2540" w:rsidP="00AB2540">
            <w:pPr>
              <w:spacing w:after="0" w:line="240" w:lineRule="auto"/>
              <w:rPr>
                <w:rFonts w:ascii="Calibri" w:eastAsia="Calibri" w:hAnsi="Calibri" w:cs="Calibri"/>
              </w:rPr>
            </w:pPr>
            <w:r w:rsidRPr="00377D2C">
              <w:rPr>
                <w:rFonts w:ascii="Calibri" w:eastAsia="Calibri" w:hAnsi="Calibri" w:cs="Calibri"/>
              </w:rPr>
              <w:t xml:space="preserve">Individuals over </w:t>
            </w:r>
            <w:r>
              <w:rPr>
                <w:rFonts w:ascii="Calibri" w:eastAsia="Calibri" w:hAnsi="Calibri" w:cs="Calibri"/>
              </w:rPr>
              <w:t xml:space="preserve">X </w:t>
            </w:r>
            <w:r w:rsidRPr="00377D2C">
              <w:rPr>
                <w:rFonts w:ascii="Calibri" w:eastAsia="Calibri" w:hAnsi="Calibri" w:cs="Calibri"/>
              </w:rPr>
              <w:t xml:space="preserve">years of age </w:t>
            </w:r>
          </w:p>
          <w:p w14:paraId="21B5E5D5" w14:textId="77777777" w:rsidR="00AB2540" w:rsidRDefault="00AB2540" w:rsidP="00AB2540">
            <w:pPr>
              <w:spacing w:after="0" w:line="240" w:lineRule="auto"/>
              <w:rPr>
                <w:rFonts w:ascii="Calibri" w:eastAsia="Calibri" w:hAnsi="Calibri" w:cs="Calibri"/>
              </w:rPr>
            </w:pPr>
          </w:p>
          <w:p w14:paraId="65F8BB27" w14:textId="132160AD" w:rsidR="00AB2540" w:rsidRPr="00377D2C" w:rsidRDefault="00AB2540" w:rsidP="00AB2540">
            <w:pPr>
              <w:spacing w:after="0" w:line="240" w:lineRule="auto"/>
              <w:rPr>
                <w:rFonts w:ascii="Calibri" w:eastAsia="Calibri" w:hAnsi="Calibri" w:cs="Calibri"/>
              </w:rPr>
            </w:pPr>
          </w:p>
        </w:tc>
        <w:tc>
          <w:tcPr>
            <w:tcW w:w="3960" w:type="dxa"/>
            <w:tcBorders>
              <w:top w:val="nil"/>
              <w:left w:val="nil"/>
              <w:bottom w:val="single" w:sz="8" w:space="0" w:color="auto"/>
              <w:right w:val="single" w:sz="8" w:space="0" w:color="auto"/>
            </w:tcBorders>
            <w:shd w:val="clear" w:color="auto" w:fill="E7E6E6" w:themeFill="background2"/>
          </w:tcPr>
          <w:p w14:paraId="03FC3541" w14:textId="77777777" w:rsidR="00AB2540" w:rsidRDefault="00AB2540" w:rsidP="00AB2540">
            <w:pPr>
              <w:spacing w:after="0" w:line="240" w:lineRule="auto"/>
              <w:rPr>
                <w:rFonts w:ascii="Calibri" w:hAnsi="Calibri" w:cs="Calibri"/>
              </w:rPr>
            </w:pPr>
            <w:r>
              <w:rPr>
                <w:rFonts w:ascii="Calibri" w:hAnsi="Calibri" w:cs="Calibri"/>
              </w:rPr>
              <w:t>Using “men and women” as a proxy for “everyone” excludes people who identify as transgender, non-binary, and other gender identities</w:t>
            </w:r>
          </w:p>
          <w:p w14:paraId="23D8FE51" w14:textId="6BAA6BF3" w:rsidR="00AB2540" w:rsidRPr="00377D2C" w:rsidRDefault="00AB2540" w:rsidP="00AB2540">
            <w:pPr>
              <w:spacing w:after="0" w:line="240" w:lineRule="auto"/>
              <w:rPr>
                <w:rFonts w:ascii="Calibri" w:eastAsia="Calibri" w:hAnsi="Calibri" w:cs="Calibri"/>
              </w:rPr>
            </w:pPr>
          </w:p>
        </w:tc>
      </w:tr>
      <w:tr w:rsidR="00AB2540" w:rsidRPr="00377D2C" w14:paraId="5985CD8D" w14:textId="56A12C30" w:rsidTr="00A05719">
        <w:tc>
          <w:tcPr>
            <w:tcW w:w="2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2E729E" w14:textId="7F87AC5F" w:rsidR="00AB2540" w:rsidRDefault="00AB2540" w:rsidP="00AB2540">
            <w:pPr>
              <w:spacing w:after="0" w:line="240" w:lineRule="auto"/>
              <w:rPr>
                <w:rFonts w:ascii="Calibri" w:eastAsia="Calibri" w:hAnsi="Calibri" w:cs="Calibri"/>
              </w:rPr>
            </w:pPr>
            <w:r>
              <w:rPr>
                <w:rFonts w:ascii="Calibri" w:eastAsia="Calibri" w:hAnsi="Calibri" w:cs="Calibri"/>
              </w:rPr>
              <w:t>M</w:t>
            </w:r>
            <w:r w:rsidRPr="00377D2C">
              <w:rPr>
                <w:rFonts w:ascii="Calibri" w:eastAsia="Calibri" w:hAnsi="Calibri" w:cs="Calibri"/>
              </w:rPr>
              <w:t xml:space="preserve">en and women </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14:paraId="31EB9019" w14:textId="51852B0A" w:rsidR="00AB2540" w:rsidRDefault="00AB2540" w:rsidP="00AB2540">
            <w:pPr>
              <w:spacing w:after="0" w:line="240" w:lineRule="auto"/>
              <w:rPr>
                <w:rFonts w:ascii="Calibri" w:eastAsia="Calibri" w:hAnsi="Calibri" w:cs="Calibri"/>
              </w:rPr>
            </w:pPr>
            <w:r w:rsidRPr="00377D2C">
              <w:rPr>
                <w:rFonts w:ascii="Calibri" w:eastAsia="Calibri" w:hAnsi="Calibri" w:cs="Calibri"/>
              </w:rPr>
              <w:t>Individuals or people of all genders</w:t>
            </w:r>
            <w:r>
              <w:rPr>
                <w:rFonts w:ascii="Calibri" w:eastAsia="Calibri" w:hAnsi="Calibri" w:cs="Calibri"/>
              </w:rPr>
              <w:t>,</w:t>
            </w:r>
            <w:r w:rsidRPr="00377D2C">
              <w:rPr>
                <w:rFonts w:ascii="Calibri" w:eastAsia="Calibri" w:hAnsi="Calibri" w:cs="Calibri"/>
              </w:rPr>
              <w:t xml:space="preserve"> or be specific – cisgender men and cisgender women</w:t>
            </w:r>
          </w:p>
          <w:p w14:paraId="3DEFD511" w14:textId="77777777" w:rsidR="00AB2540" w:rsidRPr="00377D2C" w:rsidRDefault="00AB2540" w:rsidP="00AB2540">
            <w:pPr>
              <w:spacing w:after="0" w:line="240" w:lineRule="auto"/>
              <w:rPr>
                <w:rFonts w:ascii="Calibri" w:eastAsia="Calibri" w:hAnsi="Calibri" w:cs="Calibri"/>
              </w:rPr>
            </w:pPr>
          </w:p>
        </w:tc>
        <w:tc>
          <w:tcPr>
            <w:tcW w:w="3960" w:type="dxa"/>
            <w:tcBorders>
              <w:top w:val="nil"/>
              <w:left w:val="nil"/>
              <w:bottom w:val="single" w:sz="8" w:space="0" w:color="auto"/>
              <w:right w:val="single" w:sz="8" w:space="0" w:color="auto"/>
            </w:tcBorders>
          </w:tcPr>
          <w:p w14:paraId="24AE3ED7" w14:textId="77777777" w:rsidR="00AB2540" w:rsidRDefault="00AB2540" w:rsidP="00AB2540">
            <w:pPr>
              <w:spacing w:after="0" w:line="240" w:lineRule="auto"/>
              <w:rPr>
                <w:rFonts w:ascii="Calibri" w:hAnsi="Calibri" w:cs="Calibri"/>
              </w:rPr>
            </w:pPr>
            <w:r>
              <w:rPr>
                <w:rFonts w:ascii="Calibri" w:hAnsi="Calibri" w:cs="Calibri"/>
              </w:rPr>
              <w:t>Using “men and women” as a proxy for “everyone” excludes people who identify as transgender, non-binary, and other gender identities</w:t>
            </w:r>
          </w:p>
          <w:p w14:paraId="40202AF1" w14:textId="7D93A858" w:rsidR="00AB2540" w:rsidRPr="00377D2C" w:rsidRDefault="00AB2540" w:rsidP="00AB2540">
            <w:pPr>
              <w:spacing w:after="0" w:line="240" w:lineRule="auto"/>
              <w:rPr>
                <w:rFonts w:ascii="Calibri" w:eastAsia="Calibri" w:hAnsi="Calibri" w:cs="Calibri"/>
              </w:rPr>
            </w:pPr>
          </w:p>
        </w:tc>
      </w:tr>
    </w:tbl>
    <w:p w14:paraId="2FA50AAF" w14:textId="77777777" w:rsidR="00F60EEA" w:rsidRDefault="00F60EEA" w:rsidP="00A05719">
      <w:pPr>
        <w:jc w:val="center"/>
        <w:rPr>
          <w:b/>
        </w:rPr>
      </w:pPr>
    </w:p>
    <w:p w14:paraId="7BC9D8AB" w14:textId="77777777" w:rsidR="00F60EEA" w:rsidRDefault="00F60EEA">
      <w:pPr>
        <w:rPr>
          <w:b/>
        </w:rPr>
      </w:pPr>
      <w:r>
        <w:rPr>
          <w:b/>
        </w:rPr>
        <w:br w:type="page"/>
      </w:r>
    </w:p>
    <w:p w14:paraId="1C69FF72" w14:textId="6997B363" w:rsidR="00AD2415" w:rsidRDefault="007E7BC6" w:rsidP="00A05719">
      <w:pPr>
        <w:jc w:val="center"/>
        <w:rPr>
          <w:b/>
        </w:rPr>
      </w:pPr>
      <w:r w:rsidRPr="007E7BC6">
        <w:rPr>
          <w:b/>
        </w:rPr>
        <w:lastRenderedPageBreak/>
        <w:t xml:space="preserve">Appendix </w:t>
      </w:r>
      <w:r w:rsidR="00377D2C">
        <w:rPr>
          <w:b/>
        </w:rPr>
        <w:t>B</w:t>
      </w:r>
    </w:p>
    <w:p w14:paraId="50B9BC23" w14:textId="77777777" w:rsidR="00AD2415" w:rsidRPr="00AD2415" w:rsidRDefault="00AD2415" w:rsidP="00AD2415">
      <w:pPr>
        <w:pStyle w:val="BodyText"/>
        <w:spacing w:before="39"/>
        <w:ind w:left="100"/>
        <w:jc w:val="center"/>
        <w:rPr>
          <w:b/>
        </w:rPr>
      </w:pPr>
      <w:r w:rsidRPr="00AD2415">
        <w:rPr>
          <w:b/>
        </w:rPr>
        <w:t>Data Collection: The Two-Step Method</w:t>
      </w:r>
    </w:p>
    <w:p w14:paraId="00736D53" w14:textId="77777777" w:rsidR="00AD2415" w:rsidRPr="00AD2415" w:rsidRDefault="00AD2415" w:rsidP="00AD2415">
      <w:pPr>
        <w:pStyle w:val="BodyText"/>
        <w:spacing w:before="1"/>
        <w:jc w:val="center"/>
        <w:rPr>
          <w:b/>
        </w:rPr>
      </w:pPr>
    </w:p>
    <w:p w14:paraId="792E47A5" w14:textId="01DA3617" w:rsidR="00A945F4" w:rsidRDefault="00AD2415" w:rsidP="00F141F8">
      <w:pPr>
        <w:pStyle w:val="BodyText"/>
        <w:ind w:right="302"/>
        <w:rPr>
          <w:rFonts w:asciiTheme="minorHAnsi" w:eastAsiaTheme="minorHAnsi" w:hAnsiTheme="minorHAnsi" w:cstheme="minorBidi"/>
          <w:lang w:bidi="ar-SA"/>
        </w:rPr>
      </w:pPr>
      <w:r>
        <w:t xml:space="preserve">The two-step method for collecting data on participants’ gender identity and sex assigned at birth is considered a best practice and is recommended by all leading transgender organizations as well as the Institute of Medicine. Step one of this method asks about participants’ </w:t>
      </w:r>
      <w:r w:rsidR="00CD184B">
        <w:t xml:space="preserve">current </w:t>
      </w:r>
      <w:r>
        <w:t xml:space="preserve">gender </w:t>
      </w:r>
      <w:r w:rsidR="005B4637">
        <w:t>identity and</w:t>
      </w:r>
      <w:r w:rsidR="00390101">
        <w:t xml:space="preserve"> </w:t>
      </w:r>
      <w:r>
        <w:t>includ</w:t>
      </w:r>
      <w:r w:rsidR="00390101">
        <w:t>es</w:t>
      </w:r>
      <w:r>
        <w:t xml:space="preserve"> a variety of options to choose from. Step two asks about the sex they were assigned at birth</w:t>
      </w:r>
      <w:r w:rsidR="00CD184B">
        <w:t>.</w:t>
      </w:r>
    </w:p>
    <w:p w14:paraId="1BC33108" w14:textId="77777777" w:rsidR="00A945F4" w:rsidRPr="00AD2415" w:rsidRDefault="00A945F4" w:rsidP="00AD2415">
      <w:pPr>
        <w:pStyle w:val="BodyText"/>
        <w:ind w:left="100" w:right="302"/>
      </w:pPr>
    </w:p>
    <w:p w14:paraId="2E937A48" w14:textId="3A42D758" w:rsidR="00AD2415" w:rsidRDefault="00AD2415" w:rsidP="00F141F8">
      <w:pPr>
        <w:widowControl w:val="0"/>
        <w:autoSpaceDE w:val="0"/>
        <w:autoSpaceDN w:val="0"/>
        <w:spacing w:after="0" w:line="240" w:lineRule="auto"/>
        <w:ind w:right="396"/>
        <w:rPr>
          <w:rFonts w:ascii="Calibri" w:eastAsia="Calibri" w:hAnsi="Calibri" w:cs="Calibri"/>
          <w:lang w:bidi="en-US"/>
        </w:rPr>
      </w:pPr>
      <w:r w:rsidRPr="00AD2415">
        <w:rPr>
          <w:rFonts w:ascii="Calibri" w:eastAsia="Calibri" w:hAnsi="Calibri" w:cs="Calibri"/>
          <w:lang w:bidi="en-US"/>
        </w:rPr>
        <w:t xml:space="preserve">This method allows us to accurately identify and categorize study participants. The likelihood of mis-categorizing transgender study participants is high if this method is not used (e.g. </w:t>
      </w:r>
      <w:r w:rsidR="002116EF">
        <w:rPr>
          <w:rFonts w:ascii="Calibri" w:eastAsia="Calibri" w:hAnsi="Calibri" w:cs="Calibri"/>
          <w:lang w:bidi="en-US"/>
        </w:rPr>
        <w:t>a</w:t>
      </w:r>
      <w:r w:rsidRPr="00AD2415">
        <w:rPr>
          <w:rFonts w:ascii="Calibri" w:eastAsia="Calibri" w:hAnsi="Calibri" w:cs="Calibri"/>
          <w:lang w:bidi="en-US"/>
        </w:rPr>
        <w:t xml:space="preserve"> participant who checks “Woman” as her gender identity may have been assigned male at birth, and a participant who checks “Female” sex assigned at birth may identify as a man, gender non-conforming, or any other gender identity). Collecting accurate demographic data is crucial to understanding how study interventions may (or may not) work differently across populations.</w:t>
      </w:r>
    </w:p>
    <w:p w14:paraId="4DE9D00C" w14:textId="51A6C445" w:rsidR="00AC37C3" w:rsidRDefault="00AC37C3" w:rsidP="00F141F8">
      <w:pPr>
        <w:widowControl w:val="0"/>
        <w:autoSpaceDE w:val="0"/>
        <w:autoSpaceDN w:val="0"/>
        <w:spacing w:after="0" w:line="240" w:lineRule="auto"/>
        <w:ind w:right="396"/>
        <w:rPr>
          <w:rFonts w:ascii="Calibri" w:eastAsia="Calibri" w:hAnsi="Calibri" w:cs="Calibri"/>
          <w:lang w:bidi="en-US"/>
        </w:rPr>
      </w:pPr>
    </w:p>
    <w:p w14:paraId="68EA2215" w14:textId="16A9BDAF" w:rsidR="00AD2415" w:rsidRPr="00AC37C3" w:rsidRDefault="00AC37C3" w:rsidP="00AC37C3">
      <w:pPr>
        <w:widowControl w:val="0"/>
        <w:autoSpaceDE w:val="0"/>
        <w:autoSpaceDN w:val="0"/>
        <w:spacing w:before="11" w:after="0" w:line="240" w:lineRule="auto"/>
        <w:rPr>
          <w:rFonts w:ascii="Calibri" w:eastAsia="Calibri" w:hAnsi="Calibri" w:cs="Calibri"/>
          <w:sz w:val="21"/>
          <w:lang w:bidi="en-US"/>
        </w:rPr>
      </w:pPr>
      <w:r w:rsidRPr="00AC37C3">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1B62482F" wp14:editId="0ED99B7B">
                <wp:simplePos x="0" y="0"/>
                <wp:positionH relativeFrom="column">
                  <wp:posOffset>304800</wp:posOffset>
                </wp:positionH>
                <wp:positionV relativeFrom="paragraph">
                  <wp:posOffset>22860</wp:posOffset>
                </wp:positionV>
                <wp:extent cx="35433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solidFill>
                            <a:srgbClr val="000000"/>
                          </a:solidFill>
                          <a:miter lim="800000"/>
                          <a:headEnd/>
                          <a:tailEnd/>
                        </a:ln>
                      </wps:spPr>
                      <wps:txbx>
                        <w:txbxContent>
                          <w:p w14:paraId="048943DD" w14:textId="77777777" w:rsidR="000C0D27" w:rsidRPr="00DD403E" w:rsidRDefault="000C0D27" w:rsidP="000C0D27">
                            <w:pPr>
                              <w:pStyle w:val="ListParagraph"/>
                              <w:numPr>
                                <w:ilvl w:val="0"/>
                                <w:numId w:val="18"/>
                              </w:numPr>
                              <w:rPr>
                                <w:b/>
                                <w:bCs/>
                              </w:rPr>
                            </w:pPr>
                            <w:r w:rsidRPr="00DD403E">
                              <w:rPr>
                                <w:b/>
                                <w:bCs/>
                              </w:rPr>
                              <w:t>What is your current gender identity?</w:t>
                            </w:r>
                          </w:p>
                          <w:p w14:paraId="20FD2A43" w14:textId="77777777" w:rsidR="000C0D27" w:rsidRDefault="000C0D27" w:rsidP="000C0D27">
                            <w:pPr>
                              <w:pStyle w:val="ListParagraph"/>
                              <w:numPr>
                                <w:ilvl w:val="0"/>
                                <w:numId w:val="19"/>
                              </w:numPr>
                            </w:pPr>
                            <w:r>
                              <w:t>Cisgender Man</w:t>
                            </w:r>
                          </w:p>
                          <w:p w14:paraId="2B4B0FED" w14:textId="77777777" w:rsidR="000C0D27" w:rsidRDefault="000C0D27" w:rsidP="000C0D27">
                            <w:pPr>
                              <w:pStyle w:val="ListParagraph"/>
                              <w:numPr>
                                <w:ilvl w:val="0"/>
                                <w:numId w:val="19"/>
                              </w:numPr>
                            </w:pPr>
                            <w:r>
                              <w:t>Cisgender Woman</w:t>
                            </w:r>
                          </w:p>
                          <w:p w14:paraId="79AECACA" w14:textId="77777777" w:rsidR="000C0D27" w:rsidRDefault="000C0D27" w:rsidP="000C0D27">
                            <w:pPr>
                              <w:pStyle w:val="ListParagraph"/>
                              <w:numPr>
                                <w:ilvl w:val="0"/>
                                <w:numId w:val="19"/>
                              </w:numPr>
                            </w:pPr>
                            <w:r>
                              <w:t>Genderqueer</w:t>
                            </w:r>
                          </w:p>
                          <w:p w14:paraId="41A6A377" w14:textId="77777777" w:rsidR="000C0D27" w:rsidRPr="00541A2B" w:rsidRDefault="000C0D27" w:rsidP="000C0D27">
                            <w:pPr>
                              <w:pStyle w:val="ListParagraph"/>
                              <w:numPr>
                                <w:ilvl w:val="0"/>
                                <w:numId w:val="19"/>
                              </w:numPr>
                            </w:pPr>
                            <w:r w:rsidRPr="00541A2B">
                              <w:t>Gender Non-binary</w:t>
                            </w:r>
                          </w:p>
                          <w:p w14:paraId="30D9DE47" w14:textId="77777777" w:rsidR="000C0D27" w:rsidRPr="00541A2B" w:rsidRDefault="000C0D27" w:rsidP="000C0D27">
                            <w:pPr>
                              <w:pStyle w:val="ListParagraph"/>
                              <w:numPr>
                                <w:ilvl w:val="0"/>
                                <w:numId w:val="19"/>
                              </w:numPr>
                            </w:pPr>
                            <w:r w:rsidRPr="00541A2B">
                              <w:t xml:space="preserve">Gender Non-conforming </w:t>
                            </w:r>
                          </w:p>
                          <w:p w14:paraId="31311FA9" w14:textId="77777777" w:rsidR="000C0D27" w:rsidRPr="00541A2B" w:rsidRDefault="000C0D27" w:rsidP="000C0D27">
                            <w:pPr>
                              <w:pStyle w:val="ListParagraph"/>
                              <w:numPr>
                                <w:ilvl w:val="0"/>
                                <w:numId w:val="19"/>
                              </w:numPr>
                            </w:pPr>
                            <w:r w:rsidRPr="00541A2B">
                              <w:t>Man</w:t>
                            </w:r>
                          </w:p>
                          <w:p w14:paraId="44987661" w14:textId="77777777" w:rsidR="000C0D27" w:rsidRPr="00541A2B" w:rsidRDefault="000C0D27" w:rsidP="000C0D27">
                            <w:pPr>
                              <w:pStyle w:val="ListParagraph"/>
                              <w:numPr>
                                <w:ilvl w:val="0"/>
                                <w:numId w:val="19"/>
                              </w:numPr>
                            </w:pPr>
                            <w:r w:rsidRPr="00541A2B">
                              <w:t>Transgender Man/Trans Man</w:t>
                            </w:r>
                          </w:p>
                          <w:p w14:paraId="280234DE" w14:textId="77777777" w:rsidR="000C0D27" w:rsidRPr="00541A2B" w:rsidRDefault="000C0D27" w:rsidP="000C0D27">
                            <w:pPr>
                              <w:pStyle w:val="ListParagraph"/>
                              <w:numPr>
                                <w:ilvl w:val="0"/>
                                <w:numId w:val="19"/>
                              </w:numPr>
                            </w:pPr>
                            <w:r w:rsidRPr="00541A2B">
                              <w:t>Transgender Woman/Trans Woman</w:t>
                            </w:r>
                          </w:p>
                          <w:p w14:paraId="77B2E304" w14:textId="77777777" w:rsidR="000C0D27" w:rsidRPr="00541A2B" w:rsidRDefault="000C0D27" w:rsidP="000C0D27">
                            <w:pPr>
                              <w:pStyle w:val="ListParagraph"/>
                              <w:numPr>
                                <w:ilvl w:val="0"/>
                                <w:numId w:val="19"/>
                              </w:numPr>
                            </w:pPr>
                            <w:r w:rsidRPr="00541A2B">
                              <w:t>Two-Spirit</w:t>
                            </w:r>
                          </w:p>
                          <w:p w14:paraId="24BBFD67" w14:textId="77777777" w:rsidR="000C0D27" w:rsidRPr="00541A2B" w:rsidRDefault="000C0D27" w:rsidP="000C0D27">
                            <w:pPr>
                              <w:pStyle w:val="ListParagraph"/>
                              <w:numPr>
                                <w:ilvl w:val="0"/>
                                <w:numId w:val="19"/>
                              </w:numPr>
                            </w:pPr>
                            <w:r w:rsidRPr="00541A2B">
                              <w:t>Woman</w:t>
                            </w:r>
                          </w:p>
                          <w:p w14:paraId="5AF51017" w14:textId="77777777" w:rsidR="000C0D27" w:rsidRDefault="000C0D27" w:rsidP="000C0D27">
                            <w:pPr>
                              <w:pStyle w:val="ListParagraph"/>
                              <w:numPr>
                                <w:ilvl w:val="0"/>
                                <w:numId w:val="19"/>
                              </w:numPr>
                            </w:pPr>
                            <w:r>
                              <w:t>Additional Category, Please Specify__________________________</w:t>
                            </w:r>
                          </w:p>
                          <w:p w14:paraId="06771AA0" w14:textId="4489860F" w:rsidR="000C0D27" w:rsidRDefault="000C0D27" w:rsidP="000C0D27">
                            <w:pPr>
                              <w:pStyle w:val="ListParagraph"/>
                              <w:numPr>
                                <w:ilvl w:val="0"/>
                                <w:numId w:val="19"/>
                              </w:numPr>
                            </w:pPr>
                            <w:r>
                              <w:t>Decline to Answer</w:t>
                            </w:r>
                          </w:p>
                          <w:p w14:paraId="6AE8D034" w14:textId="77777777" w:rsidR="000C0D27" w:rsidRDefault="000C0D27" w:rsidP="000C0D27">
                            <w:pPr>
                              <w:pStyle w:val="ListParagraph"/>
                              <w:ind w:left="1080"/>
                            </w:pPr>
                          </w:p>
                          <w:p w14:paraId="22451E8E" w14:textId="77777777" w:rsidR="000C0D27" w:rsidRPr="00DD403E" w:rsidRDefault="000C0D27" w:rsidP="000C0D27">
                            <w:pPr>
                              <w:pStyle w:val="ListParagraph"/>
                              <w:numPr>
                                <w:ilvl w:val="0"/>
                                <w:numId w:val="18"/>
                              </w:numPr>
                              <w:rPr>
                                <w:b/>
                                <w:bCs/>
                              </w:rPr>
                            </w:pPr>
                            <w:r w:rsidRPr="00DD403E">
                              <w:rPr>
                                <w:b/>
                                <w:bCs/>
                              </w:rPr>
                              <w:t>What was your sex assigned at birth?</w:t>
                            </w:r>
                          </w:p>
                          <w:p w14:paraId="50B1EA6D" w14:textId="77777777" w:rsidR="000C0D27" w:rsidRDefault="000C0D27" w:rsidP="000C0D27">
                            <w:pPr>
                              <w:pStyle w:val="ListParagraph"/>
                              <w:numPr>
                                <w:ilvl w:val="0"/>
                                <w:numId w:val="19"/>
                              </w:numPr>
                            </w:pPr>
                            <w:r>
                              <w:t>Female</w:t>
                            </w:r>
                          </w:p>
                          <w:p w14:paraId="547B4451" w14:textId="77777777" w:rsidR="000C0D27" w:rsidRDefault="000C0D27" w:rsidP="000C0D27">
                            <w:pPr>
                              <w:pStyle w:val="ListParagraph"/>
                              <w:numPr>
                                <w:ilvl w:val="0"/>
                                <w:numId w:val="19"/>
                              </w:numPr>
                            </w:pPr>
                            <w:r>
                              <w:t>Male</w:t>
                            </w:r>
                          </w:p>
                          <w:p w14:paraId="17F8C6C6" w14:textId="77777777" w:rsidR="000C0D27" w:rsidRDefault="000C0D27" w:rsidP="000C0D27">
                            <w:pPr>
                              <w:pStyle w:val="ListParagraph"/>
                              <w:numPr>
                                <w:ilvl w:val="0"/>
                                <w:numId w:val="19"/>
                              </w:numPr>
                            </w:pPr>
                            <w:r>
                              <w:t>Intersex</w:t>
                            </w:r>
                          </w:p>
                          <w:p w14:paraId="2B86D35F" w14:textId="433F5422" w:rsidR="00AC37C3" w:rsidRDefault="000C0D27" w:rsidP="000C0D27">
                            <w:pPr>
                              <w:pStyle w:val="ListParagraph"/>
                              <w:numPr>
                                <w:ilvl w:val="0"/>
                                <w:numId w:val="19"/>
                              </w:numPr>
                            </w:pPr>
                            <w:r>
                              <w:t>Decline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62482F" id="_x0000_t202" coordsize="21600,21600" o:spt="202" path="m,l,21600r21600,l21600,xe">
                <v:stroke joinstyle="miter"/>
                <v:path gradientshapeok="t" o:connecttype="rect"/>
              </v:shapetype>
              <v:shape id="Text Box 2" o:spid="_x0000_s1026" type="#_x0000_t202" style="position:absolute;margin-left:24pt;margin-top:1.8pt;width:27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">
                <v:textbox style="mso-fit-shape-to-text:t">
                  <w:txbxContent>
                    <w:p w14:paraId="048943DD" w14:textId="77777777" w:rsidR="000C0D27" w:rsidRPr="00DD403E" w:rsidRDefault="000C0D27" w:rsidP="000C0D27">
                      <w:pPr>
                        <w:pStyle w:val="ListParagraph"/>
                        <w:numPr>
                          <w:ilvl w:val="0"/>
                          <w:numId w:val="18"/>
                        </w:numPr>
                        <w:rPr>
                          <w:b/>
                          <w:bCs/>
                        </w:rPr>
                      </w:pPr>
                      <w:r w:rsidRPr="00DD403E">
                        <w:rPr>
                          <w:b/>
                          <w:bCs/>
                        </w:rPr>
                        <w:t>What is your current gender identity?</w:t>
                      </w:r>
                    </w:p>
                    <w:p w14:paraId="20FD2A43" w14:textId="77777777" w:rsidR="000C0D27" w:rsidRDefault="000C0D27" w:rsidP="000C0D27">
                      <w:pPr>
                        <w:pStyle w:val="ListParagraph"/>
                        <w:numPr>
                          <w:ilvl w:val="0"/>
                          <w:numId w:val="19"/>
                        </w:numPr>
                      </w:pPr>
                      <w:r>
                        <w:t>Cisgender Man</w:t>
                      </w:r>
                    </w:p>
                    <w:p w14:paraId="2B4B0FED" w14:textId="77777777" w:rsidR="000C0D27" w:rsidRDefault="000C0D27" w:rsidP="000C0D27">
                      <w:pPr>
                        <w:pStyle w:val="ListParagraph"/>
                        <w:numPr>
                          <w:ilvl w:val="0"/>
                          <w:numId w:val="19"/>
                        </w:numPr>
                      </w:pPr>
                      <w:r>
                        <w:t>Cisgender Woman</w:t>
                      </w:r>
                    </w:p>
                    <w:p w14:paraId="79AECACA" w14:textId="77777777" w:rsidR="000C0D27" w:rsidRDefault="000C0D27" w:rsidP="000C0D27">
                      <w:pPr>
                        <w:pStyle w:val="ListParagraph"/>
                        <w:numPr>
                          <w:ilvl w:val="0"/>
                          <w:numId w:val="19"/>
                        </w:numPr>
                      </w:pPr>
                      <w:r>
                        <w:t>Genderqueer</w:t>
                      </w:r>
                    </w:p>
                    <w:p w14:paraId="41A6A377" w14:textId="77777777" w:rsidR="000C0D27" w:rsidRPr="00541A2B" w:rsidRDefault="000C0D27" w:rsidP="000C0D27">
                      <w:pPr>
                        <w:pStyle w:val="ListParagraph"/>
                        <w:numPr>
                          <w:ilvl w:val="0"/>
                          <w:numId w:val="19"/>
                        </w:numPr>
                      </w:pPr>
                      <w:r w:rsidRPr="00541A2B">
                        <w:t>Gender Non-binary</w:t>
                      </w:r>
                    </w:p>
                    <w:p w14:paraId="30D9DE47" w14:textId="77777777" w:rsidR="000C0D27" w:rsidRPr="00541A2B" w:rsidRDefault="000C0D27" w:rsidP="000C0D27">
                      <w:pPr>
                        <w:pStyle w:val="ListParagraph"/>
                        <w:numPr>
                          <w:ilvl w:val="0"/>
                          <w:numId w:val="19"/>
                        </w:numPr>
                      </w:pPr>
                      <w:r w:rsidRPr="00541A2B">
                        <w:t xml:space="preserve">Gender Non-conforming </w:t>
                      </w:r>
                    </w:p>
                    <w:p w14:paraId="31311FA9" w14:textId="77777777" w:rsidR="000C0D27" w:rsidRPr="00541A2B" w:rsidRDefault="000C0D27" w:rsidP="000C0D27">
                      <w:pPr>
                        <w:pStyle w:val="ListParagraph"/>
                        <w:numPr>
                          <w:ilvl w:val="0"/>
                          <w:numId w:val="19"/>
                        </w:numPr>
                      </w:pPr>
                      <w:r w:rsidRPr="00541A2B">
                        <w:t>Man</w:t>
                      </w:r>
                    </w:p>
                    <w:p w14:paraId="44987661" w14:textId="77777777" w:rsidR="000C0D27" w:rsidRPr="00541A2B" w:rsidRDefault="000C0D27" w:rsidP="000C0D27">
                      <w:pPr>
                        <w:pStyle w:val="ListParagraph"/>
                        <w:numPr>
                          <w:ilvl w:val="0"/>
                          <w:numId w:val="19"/>
                        </w:numPr>
                      </w:pPr>
                      <w:r w:rsidRPr="00541A2B">
                        <w:t>Transgender Man/Trans Man</w:t>
                      </w:r>
                    </w:p>
                    <w:p w14:paraId="280234DE" w14:textId="77777777" w:rsidR="000C0D27" w:rsidRPr="00541A2B" w:rsidRDefault="000C0D27" w:rsidP="000C0D27">
                      <w:pPr>
                        <w:pStyle w:val="ListParagraph"/>
                        <w:numPr>
                          <w:ilvl w:val="0"/>
                          <w:numId w:val="19"/>
                        </w:numPr>
                      </w:pPr>
                      <w:r w:rsidRPr="00541A2B">
                        <w:t>Transgender Woman/Trans Woman</w:t>
                      </w:r>
                    </w:p>
                    <w:p w14:paraId="77B2E304" w14:textId="77777777" w:rsidR="000C0D27" w:rsidRPr="00541A2B" w:rsidRDefault="000C0D27" w:rsidP="000C0D27">
                      <w:pPr>
                        <w:pStyle w:val="ListParagraph"/>
                        <w:numPr>
                          <w:ilvl w:val="0"/>
                          <w:numId w:val="19"/>
                        </w:numPr>
                      </w:pPr>
                      <w:r w:rsidRPr="00541A2B">
                        <w:t>Two-Spirit</w:t>
                      </w:r>
                    </w:p>
                    <w:p w14:paraId="24BBFD67" w14:textId="77777777" w:rsidR="000C0D27" w:rsidRPr="00541A2B" w:rsidRDefault="000C0D27" w:rsidP="000C0D27">
                      <w:pPr>
                        <w:pStyle w:val="ListParagraph"/>
                        <w:numPr>
                          <w:ilvl w:val="0"/>
                          <w:numId w:val="19"/>
                        </w:numPr>
                      </w:pPr>
                      <w:r w:rsidRPr="00541A2B">
                        <w:t>Woman</w:t>
                      </w:r>
                    </w:p>
                    <w:p w14:paraId="5AF51017" w14:textId="77777777" w:rsidR="000C0D27" w:rsidRDefault="000C0D27" w:rsidP="000C0D27">
                      <w:pPr>
                        <w:pStyle w:val="ListParagraph"/>
                        <w:numPr>
                          <w:ilvl w:val="0"/>
                          <w:numId w:val="19"/>
                        </w:numPr>
                      </w:pPr>
                      <w:r>
                        <w:t>Additional Category, Please Specify__________________________</w:t>
                      </w:r>
                    </w:p>
                    <w:p w14:paraId="06771AA0" w14:textId="4489860F" w:rsidR="000C0D27" w:rsidRDefault="000C0D27" w:rsidP="000C0D27">
                      <w:pPr>
                        <w:pStyle w:val="ListParagraph"/>
                        <w:numPr>
                          <w:ilvl w:val="0"/>
                          <w:numId w:val="19"/>
                        </w:numPr>
                      </w:pPr>
                      <w:r>
                        <w:t>Decline to Answer</w:t>
                      </w:r>
                    </w:p>
                    <w:p w14:paraId="6AE8D034" w14:textId="77777777" w:rsidR="000C0D27" w:rsidRDefault="000C0D27" w:rsidP="000C0D27">
                      <w:pPr>
                        <w:pStyle w:val="ListParagraph"/>
                        <w:ind w:left="1080"/>
                      </w:pPr>
                    </w:p>
                    <w:p w14:paraId="22451E8E" w14:textId="77777777" w:rsidR="000C0D27" w:rsidRPr="00DD403E" w:rsidRDefault="000C0D27" w:rsidP="000C0D27">
                      <w:pPr>
                        <w:pStyle w:val="ListParagraph"/>
                        <w:numPr>
                          <w:ilvl w:val="0"/>
                          <w:numId w:val="18"/>
                        </w:numPr>
                        <w:rPr>
                          <w:b/>
                          <w:bCs/>
                        </w:rPr>
                      </w:pPr>
                      <w:r w:rsidRPr="00DD403E">
                        <w:rPr>
                          <w:b/>
                          <w:bCs/>
                        </w:rPr>
                        <w:t>What was your sex assigned at birth?</w:t>
                      </w:r>
                    </w:p>
                    <w:p w14:paraId="50B1EA6D" w14:textId="77777777" w:rsidR="000C0D27" w:rsidRDefault="000C0D27" w:rsidP="000C0D27">
                      <w:pPr>
                        <w:pStyle w:val="ListParagraph"/>
                        <w:numPr>
                          <w:ilvl w:val="0"/>
                          <w:numId w:val="19"/>
                        </w:numPr>
                      </w:pPr>
                      <w:r>
                        <w:t>Female</w:t>
                      </w:r>
                    </w:p>
                    <w:p w14:paraId="547B4451" w14:textId="77777777" w:rsidR="000C0D27" w:rsidRDefault="000C0D27" w:rsidP="000C0D27">
                      <w:pPr>
                        <w:pStyle w:val="ListParagraph"/>
                        <w:numPr>
                          <w:ilvl w:val="0"/>
                          <w:numId w:val="19"/>
                        </w:numPr>
                      </w:pPr>
                      <w:r>
                        <w:t>Male</w:t>
                      </w:r>
                    </w:p>
                    <w:p w14:paraId="17F8C6C6" w14:textId="77777777" w:rsidR="000C0D27" w:rsidRDefault="000C0D27" w:rsidP="000C0D27">
                      <w:pPr>
                        <w:pStyle w:val="ListParagraph"/>
                        <w:numPr>
                          <w:ilvl w:val="0"/>
                          <w:numId w:val="19"/>
                        </w:numPr>
                      </w:pPr>
                      <w:r>
                        <w:t>Intersex</w:t>
                      </w:r>
                    </w:p>
                    <w:p w14:paraId="2B86D35F" w14:textId="433F5422" w:rsidR="00AC37C3" w:rsidRDefault="000C0D27" w:rsidP="000C0D27">
                      <w:pPr>
                        <w:pStyle w:val="ListParagraph"/>
                        <w:numPr>
                          <w:ilvl w:val="0"/>
                          <w:numId w:val="19"/>
                        </w:numPr>
                      </w:pPr>
                      <w:r>
                        <w:t>Decline to answer</w:t>
                      </w:r>
                    </w:p>
                  </w:txbxContent>
                </v:textbox>
                <w10:wrap type="square"/>
              </v:shape>
            </w:pict>
          </mc:Fallback>
        </mc:AlternateContent>
      </w:r>
      <w:bookmarkStart w:id="9" w:name="_Hlk21607604"/>
      <w:r w:rsidR="00AD2415" w:rsidRPr="00AD2415">
        <w:rPr>
          <w:rFonts w:ascii="Calibri" w:eastAsia="Calibri" w:hAnsi="Calibri" w:cs="Calibri"/>
          <w:lang w:bidi="en-US"/>
        </w:rPr>
        <w:t xml:space="preserve">In this example, options are listed alphabetically to avoid the perception of hierarchy. People are given the opportunity to specify their gender identity </w:t>
      </w:r>
      <w:r w:rsidR="002638F0">
        <w:rPr>
          <w:rFonts w:ascii="Calibri" w:eastAsia="Calibri" w:hAnsi="Calibri" w:cs="Calibri"/>
          <w:lang w:bidi="en-US"/>
        </w:rPr>
        <w:t xml:space="preserve">using a term </w:t>
      </w:r>
      <w:r w:rsidR="00AD2415" w:rsidRPr="00AD2415">
        <w:rPr>
          <w:rFonts w:ascii="Calibri" w:eastAsia="Calibri" w:hAnsi="Calibri" w:cs="Calibri"/>
          <w:lang w:bidi="en-US"/>
        </w:rPr>
        <w:t>not listed on the form (</w:t>
      </w:r>
      <w:r w:rsidR="00642B35">
        <w:rPr>
          <w:rFonts w:ascii="Calibri" w:eastAsia="Calibri" w:hAnsi="Calibri" w:cs="Calibri"/>
          <w:lang w:bidi="en-US"/>
        </w:rPr>
        <w:t xml:space="preserve">the category of </w:t>
      </w:r>
      <w:r w:rsidR="00AD2415" w:rsidRPr="00AD2415">
        <w:rPr>
          <w:rFonts w:ascii="Calibri" w:eastAsia="Calibri" w:hAnsi="Calibri" w:cs="Calibri"/>
          <w:lang w:bidi="en-US"/>
        </w:rPr>
        <w:t xml:space="preserve">“Other” </w:t>
      </w:r>
      <w:r w:rsidR="00B144CD">
        <w:rPr>
          <w:rFonts w:ascii="Calibri" w:eastAsia="Calibri" w:hAnsi="Calibri" w:cs="Calibri"/>
          <w:lang w:bidi="en-US"/>
        </w:rPr>
        <w:t>is</w:t>
      </w:r>
      <w:r w:rsidR="00642B35">
        <w:rPr>
          <w:rFonts w:ascii="Calibri" w:eastAsia="Calibri" w:hAnsi="Calibri" w:cs="Calibri"/>
          <w:lang w:bidi="en-US"/>
        </w:rPr>
        <w:t xml:space="preserve"> avoided as it is</w:t>
      </w:r>
      <w:r w:rsidR="00B144CD">
        <w:rPr>
          <w:rFonts w:ascii="Calibri" w:eastAsia="Calibri" w:hAnsi="Calibri" w:cs="Calibri"/>
          <w:lang w:bidi="en-US"/>
        </w:rPr>
        <w:t xml:space="preserve"> not anyone’s identity</w:t>
      </w:r>
      <w:r w:rsidR="00642B35">
        <w:rPr>
          <w:rFonts w:ascii="Calibri" w:eastAsia="Calibri" w:hAnsi="Calibri" w:cs="Calibri"/>
          <w:lang w:bidi="en-US"/>
        </w:rPr>
        <w:t>)</w:t>
      </w:r>
      <w:r w:rsidR="00AD2415" w:rsidRPr="00AD2415">
        <w:rPr>
          <w:rFonts w:ascii="Calibri" w:eastAsia="Calibri" w:hAnsi="Calibri" w:cs="Calibri"/>
          <w:lang w:bidi="en-US"/>
        </w:rPr>
        <w:t>, and they may also decline to answer. Intersex has also been included as an option for sex assigned at birth because official documents recognizing intersex status are becoming more available to intersex people (even in cases where the sex initially assigned at birth was not intersex). Because the question about sex assigned at birth can be problematic for some transgender and gender non-conforming people, it is best to include a “decline to answer” option and also a rationale for asking this question, such as, “some biological processes are impacted by the sex you were assigned at birth, so it is important to record this</w:t>
      </w:r>
      <w:r w:rsidR="00AD2415" w:rsidRPr="00AD2415">
        <w:rPr>
          <w:rFonts w:ascii="Calibri" w:eastAsia="Calibri" w:hAnsi="Calibri" w:cs="Calibri"/>
          <w:spacing w:val="-11"/>
          <w:lang w:bidi="en-US"/>
        </w:rPr>
        <w:t xml:space="preserve"> </w:t>
      </w:r>
      <w:r w:rsidR="00AD2415" w:rsidRPr="00AD2415">
        <w:rPr>
          <w:rFonts w:ascii="Calibri" w:eastAsia="Calibri" w:hAnsi="Calibri" w:cs="Calibri"/>
          <w:lang w:bidi="en-US"/>
        </w:rPr>
        <w:t>information.”</w:t>
      </w:r>
      <w:r w:rsidR="00B144CD">
        <w:rPr>
          <w:rFonts w:ascii="Calibri" w:eastAsia="Calibri" w:hAnsi="Calibri" w:cs="Calibri"/>
          <w:lang w:bidi="en-US"/>
        </w:rPr>
        <w:t xml:space="preserve">  The rationale can easily be included with instructions given to staff who are administering the collection of demographic data</w:t>
      </w:r>
      <w:r w:rsidR="00630993">
        <w:rPr>
          <w:rFonts w:ascii="Calibri" w:eastAsia="Calibri" w:hAnsi="Calibri" w:cs="Calibri"/>
          <w:lang w:bidi="en-US"/>
        </w:rPr>
        <w:t>,</w:t>
      </w:r>
      <w:r w:rsidR="00B144CD">
        <w:rPr>
          <w:rFonts w:ascii="Calibri" w:eastAsia="Calibri" w:hAnsi="Calibri" w:cs="Calibri"/>
          <w:lang w:bidi="en-US"/>
        </w:rPr>
        <w:t xml:space="preserve"> or</w:t>
      </w:r>
      <w:r w:rsidR="00273473">
        <w:rPr>
          <w:rFonts w:ascii="Calibri" w:eastAsia="Calibri" w:hAnsi="Calibri" w:cs="Calibri"/>
          <w:lang w:bidi="en-US"/>
        </w:rPr>
        <w:t xml:space="preserve"> it</w:t>
      </w:r>
      <w:r w:rsidR="00B144CD">
        <w:rPr>
          <w:rFonts w:ascii="Calibri" w:eastAsia="Calibri" w:hAnsi="Calibri" w:cs="Calibri"/>
          <w:lang w:bidi="en-US"/>
        </w:rPr>
        <w:t xml:space="preserve"> can be included next to the question if </w:t>
      </w:r>
      <w:r w:rsidR="00273473">
        <w:rPr>
          <w:rFonts w:ascii="Calibri" w:eastAsia="Calibri" w:hAnsi="Calibri" w:cs="Calibri"/>
          <w:lang w:bidi="en-US"/>
        </w:rPr>
        <w:t xml:space="preserve">being asked in a survey/questionnaire </w:t>
      </w:r>
      <w:r w:rsidR="00B144CD">
        <w:rPr>
          <w:rFonts w:ascii="Calibri" w:eastAsia="Calibri" w:hAnsi="Calibri" w:cs="Calibri"/>
          <w:lang w:bidi="en-US"/>
        </w:rPr>
        <w:t xml:space="preserve">format. </w:t>
      </w:r>
    </w:p>
    <w:bookmarkEnd w:id="9"/>
    <w:p w14:paraId="377D268E" w14:textId="77777777" w:rsidR="00B144CD" w:rsidRDefault="00B144CD" w:rsidP="00273473">
      <w:pPr>
        <w:widowControl w:val="0"/>
        <w:autoSpaceDE w:val="0"/>
        <w:autoSpaceDN w:val="0"/>
        <w:spacing w:before="1" w:after="0" w:line="240" w:lineRule="auto"/>
        <w:ind w:right="103"/>
        <w:rPr>
          <w:rFonts w:ascii="Calibri" w:eastAsia="Calibri" w:hAnsi="Calibri" w:cs="Calibri"/>
          <w:lang w:bidi="en-US"/>
        </w:rPr>
      </w:pPr>
    </w:p>
    <w:p w14:paraId="039A7424" w14:textId="57664CAA" w:rsidR="00537BF7" w:rsidRDefault="00537BF7" w:rsidP="00AD2415">
      <w:pPr>
        <w:widowControl w:val="0"/>
        <w:autoSpaceDE w:val="0"/>
        <w:autoSpaceDN w:val="0"/>
        <w:spacing w:before="1" w:after="0" w:line="240" w:lineRule="auto"/>
        <w:ind w:left="100" w:right="103"/>
        <w:rPr>
          <w:rFonts w:ascii="Calibri" w:eastAsia="Calibri" w:hAnsi="Calibri" w:cs="Calibri"/>
          <w:lang w:bidi="en-US"/>
        </w:rPr>
      </w:pPr>
    </w:p>
    <w:p w14:paraId="0A97E975" w14:textId="00E3DCDD" w:rsidR="00537BF7" w:rsidRDefault="00537BF7" w:rsidP="00AD2415">
      <w:pPr>
        <w:widowControl w:val="0"/>
        <w:autoSpaceDE w:val="0"/>
        <w:autoSpaceDN w:val="0"/>
        <w:spacing w:before="1" w:after="0" w:line="240" w:lineRule="auto"/>
        <w:ind w:left="100" w:right="103"/>
        <w:rPr>
          <w:rFonts w:ascii="Calibri" w:eastAsia="Calibri" w:hAnsi="Calibri" w:cs="Calibri"/>
          <w:lang w:bidi="en-US"/>
        </w:rPr>
      </w:pPr>
    </w:p>
    <w:p w14:paraId="5FE088D0" w14:textId="77777777" w:rsidR="00537BF7" w:rsidRPr="00AD2415" w:rsidRDefault="00537BF7" w:rsidP="00AD2415">
      <w:pPr>
        <w:widowControl w:val="0"/>
        <w:autoSpaceDE w:val="0"/>
        <w:autoSpaceDN w:val="0"/>
        <w:spacing w:before="1" w:after="0" w:line="240" w:lineRule="auto"/>
        <w:ind w:left="100" w:right="103"/>
        <w:rPr>
          <w:rFonts w:ascii="Calibri" w:eastAsia="Calibri" w:hAnsi="Calibri" w:cs="Calibri"/>
          <w:lang w:bidi="en-US"/>
        </w:rPr>
      </w:pPr>
    </w:p>
    <w:sectPr w:rsidR="00537BF7" w:rsidRPr="00AD2415" w:rsidSect="0055311B">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54897" w14:textId="77777777" w:rsidR="00DB4B92" w:rsidRDefault="00DB4B92" w:rsidP="00BD1CF1">
      <w:pPr>
        <w:spacing w:after="0" w:line="240" w:lineRule="auto"/>
      </w:pPr>
      <w:r>
        <w:separator/>
      </w:r>
    </w:p>
  </w:endnote>
  <w:endnote w:type="continuationSeparator" w:id="0">
    <w:p w14:paraId="00CE8E32" w14:textId="77777777" w:rsidR="00DB4B92" w:rsidRDefault="00DB4B92" w:rsidP="00BD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586116"/>
      <w:docPartObj>
        <w:docPartGallery w:val="Page Numbers (Bottom of Page)"/>
        <w:docPartUnique/>
      </w:docPartObj>
    </w:sdtPr>
    <w:sdtEndPr>
      <w:rPr>
        <w:noProof/>
      </w:rPr>
    </w:sdtEndPr>
    <w:sdtContent>
      <w:p w14:paraId="5C3F77E0" w14:textId="3860864C" w:rsidR="00EC199C" w:rsidRDefault="00EC199C">
        <w:pPr>
          <w:pStyle w:val="Footer"/>
          <w:jc w:val="right"/>
        </w:pPr>
        <w:r>
          <w:fldChar w:fldCharType="begin"/>
        </w:r>
        <w:r>
          <w:instrText xml:space="preserve"> PAGE   \* MERGEFORMAT </w:instrText>
        </w:r>
        <w:r>
          <w:fldChar w:fldCharType="separate"/>
        </w:r>
        <w:r w:rsidR="000C0D27">
          <w:rPr>
            <w:noProof/>
          </w:rPr>
          <w:t>9</w:t>
        </w:r>
        <w:r>
          <w:rPr>
            <w:noProof/>
          </w:rPr>
          <w:fldChar w:fldCharType="end"/>
        </w:r>
      </w:p>
    </w:sdtContent>
  </w:sdt>
  <w:p w14:paraId="25CB82C9" w14:textId="77777777" w:rsidR="00EC199C" w:rsidRDefault="00EC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8D168" w14:textId="77777777" w:rsidR="00DB4B92" w:rsidRDefault="00DB4B92" w:rsidP="00BD1CF1">
      <w:pPr>
        <w:spacing w:after="0" w:line="240" w:lineRule="auto"/>
      </w:pPr>
      <w:r>
        <w:separator/>
      </w:r>
    </w:p>
  </w:footnote>
  <w:footnote w:type="continuationSeparator" w:id="0">
    <w:p w14:paraId="7525CF29" w14:textId="77777777" w:rsidR="00DB4B92" w:rsidRDefault="00DB4B92" w:rsidP="00BD1CF1">
      <w:pPr>
        <w:spacing w:after="0" w:line="240" w:lineRule="auto"/>
      </w:pPr>
      <w:r>
        <w:continuationSeparator/>
      </w:r>
    </w:p>
  </w:footnote>
  <w:footnote w:id="1">
    <w:p w14:paraId="7F9FE516" w14:textId="536D1BA9" w:rsidR="008D128D" w:rsidRDefault="008D128D">
      <w:pPr>
        <w:pStyle w:val="FootnoteText"/>
      </w:pPr>
      <w:r>
        <w:rPr>
          <w:rStyle w:val="EndnoteReference"/>
        </w:rPr>
        <w:footnoteRef/>
      </w:r>
      <w:r>
        <w:t xml:space="preserve"> The term transgender is being used as an umbrella term that includes transgender men, transgender women, gender non-binary and gender non-conforming individuals, and all people whose gender identity does not match their sex assigned at birth. In places, this guidance refers more specifically to transgender women and transgender men. A</w:t>
      </w:r>
      <w:r w:rsidRPr="00AD3677">
        <w:rPr>
          <w:rFonts w:eastAsia="Times New Roman" w:cs="Times New Roman"/>
          <w:color w:val="000000"/>
          <w:kern w:val="24"/>
        </w:rPr>
        <w:t xml:space="preserve"> transgender woman is someone who identifies as a woman but was assigned male at birth</w:t>
      </w:r>
      <w:r>
        <w:rPr>
          <w:rFonts w:eastAsia="Times New Roman" w:cs="Times New Roman"/>
          <w:color w:val="000000"/>
          <w:kern w:val="24"/>
        </w:rPr>
        <w:t>, and a transgender man is someone who identifies as a man but was assigned female at birth.</w:t>
      </w:r>
    </w:p>
  </w:footnote>
  <w:footnote w:id="2">
    <w:p w14:paraId="17259555" w14:textId="6DFAD02C" w:rsidR="00831076" w:rsidRDefault="00831076">
      <w:pPr>
        <w:pStyle w:val="FootnoteText"/>
      </w:pPr>
      <w:r>
        <w:rPr>
          <w:rStyle w:val="FootnoteReference"/>
        </w:rPr>
        <w:footnoteRef/>
      </w:r>
      <w:r>
        <w:t xml:space="preserve"> </w:t>
      </w:r>
      <w:hyperlink r:id="rId1" w:history="1">
        <w:r w:rsidRPr="00FF1CA4">
          <w:rPr>
            <w:rStyle w:val="Hyperlink"/>
            <w:sz w:val="18"/>
            <w:szCs w:val="18"/>
          </w:rPr>
          <w:t>https://grants.nih.gov/policy/inclusion/women-and-minorities/guidelines.htm</w:t>
        </w:r>
      </w:hyperlink>
    </w:p>
  </w:footnote>
  <w:footnote w:id="3">
    <w:p w14:paraId="5C28A8B6" w14:textId="44C65AAD" w:rsidR="00800B29" w:rsidRDefault="00800B29">
      <w:pPr>
        <w:pStyle w:val="FootnoteText"/>
      </w:pPr>
      <w:r>
        <w:rPr>
          <w:rStyle w:val="FootnoteReference"/>
        </w:rPr>
        <w:footnoteRef/>
      </w:r>
      <w:r>
        <w:t xml:space="preserve"> </w:t>
      </w:r>
      <w:hyperlink r:id="rId2" w:history="1">
        <w:r w:rsidRPr="00FF1CA4">
          <w:rPr>
            <w:rStyle w:val="Hyperlink"/>
            <w:sz w:val="18"/>
            <w:szCs w:val="18"/>
          </w:rPr>
          <w:t>https://www.niaid.nih.gov/grants-contracts/sex-gender-minorities-health-disparity-population</w:t>
        </w:r>
      </w:hyperlink>
    </w:p>
  </w:footnote>
  <w:footnote w:id="4">
    <w:p w14:paraId="2B486DFF" w14:textId="357C95BB" w:rsidR="001045F1" w:rsidRDefault="001045F1">
      <w:pPr>
        <w:pStyle w:val="FootnoteText"/>
      </w:pPr>
      <w:r>
        <w:rPr>
          <w:rStyle w:val="FootnoteReference"/>
        </w:rPr>
        <w:footnoteRef/>
      </w:r>
      <w:r>
        <w:t xml:space="preserve"> </w:t>
      </w:r>
      <w:hyperlink r:id="rId3" w:history="1">
        <w:r w:rsidR="00EC199C" w:rsidRPr="004C5DDE">
          <w:rPr>
            <w:rStyle w:val="Hyperlink"/>
          </w:rPr>
          <w:t>https://www.nimhd.nih.gov/about/directors-corner/messages/message_10-06-16.html</w:t>
        </w:r>
      </w:hyperlink>
    </w:p>
    <w:p w14:paraId="40859FB6" w14:textId="77777777" w:rsidR="00EC199C" w:rsidRDefault="00EC199C">
      <w:pPr>
        <w:pStyle w:val="FootnoteText"/>
      </w:pPr>
    </w:p>
  </w:footnote>
  <w:footnote w:id="5">
    <w:p w14:paraId="32D075C1" w14:textId="69B0980A" w:rsidR="009E59A1" w:rsidRPr="007666B1" w:rsidRDefault="0044409C" w:rsidP="009E59A1">
      <w:pPr>
        <w:pStyle w:val="FootnoteText"/>
        <w:rPr>
          <w:rStyle w:val="Hyperlink"/>
        </w:rPr>
      </w:pPr>
      <w:r>
        <w:rPr>
          <w:rStyle w:val="FootnoteReference"/>
        </w:rPr>
        <w:footnoteRef/>
      </w:r>
      <w:r>
        <w:t xml:space="preserve"> </w:t>
      </w:r>
      <w:r w:rsidRPr="009E59A1">
        <w:rPr>
          <w:rStyle w:val="Hyperlink"/>
          <w:color w:val="auto"/>
          <w:sz w:val="18"/>
          <w:szCs w:val="18"/>
          <w:u w:val="none"/>
        </w:rPr>
        <w:t>UCSF Center of Excellence for Transgender Health</w:t>
      </w:r>
      <w:r w:rsidRPr="009E59A1">
        <w:rPr>
          <w:rStyle w:val="Hyperlink"/>
          <w:sz w:val="18"/>
          <w:szCs w:val="18"/>
        </w:rPr>
        <w:t xml:space="preserve">, </w:t>
      </w:r>
      <w:hyperlink r:id="rId4" w:history="1">
        <w:r w:rsidRPr="009E59A1">
          <w:rPr>
            <w:rStyle w:val="Hyperlink"/>
            <w:sz w:val="18"/>
            <w:szCs w:val="18"/>
          </w:rPr>
          <w:t>https://prevention.ucsf.edu/transhealth/education/data-recs-long</w:t>
        </w:r>
      </w:hyperlink>
      <w:r w:rsidRPr="009E59A1">
        <w:rPr>
          <w:rStyle w:val="Hyperlink"/>
          <w:sz w:val="18"/>
          <w:szCs w:val="18"/>
        </w:rPr>
        <w:t xml:space="preserve">; </w:t>
      </w:r>
      <w:r w:rsidR="0007363B" w:rsidRPr="0007363B">
        <w:rPr>
          <w:rStyle w:val="Hyperlink"/>
          <w:color w:val="auto"/>
          <w:sz w:val="18"/>
          <w:szCs w:val="18"/>
          <w:u w:val="none"/>
        </w:rPr>
        <w:t>T</w:t>
      </w:r>
      <w:r w:rsidR="0007363B">
        <w:t>he Institute of Medicine,</w:t>
      </w:r>
      <w:r w:rsidR="0007363B" w:rsidRPr="009E59A1">
        <w:rPr>
          <w:sz w:val="22"/>
          <w:szCs w:val="22"/>
        </w:rPr>
        <w:t xml:space="preserve"> </w:t>
      </w:r>
      <w:hyperlink r:id="rId5" w:history="1">
        <w:r w:rsidR="0007363B" w:rsidRPr="009E59A1">
          <w:rPr>
            <w:rStyle w:val="Hyperlink"/>
            <w:sz w:val="18"/>
            <w:szCs w:val="18"/>
          </w:rPr>
          <w:t>https://www.ncbi.nlm.nih.gov/pubmed/</w:t>
        </w:r>
        <w:r w:rsidR="0007363B" w:rsidRPr="0007363B">
          <w:rPr>
            <w:rStyle w:val="Hyperlink"/>
            <w:sz w:val="18"/>
            <w:szCs w:val="18"/>
          </w:rPr>
          <w:t>22013611</w:t>
        </w:r>
      </w:hyperlink>
      <w:r w:rsidR="0007363B">
        <w:rPr>
          <w:rStyle w:val="Hyperlink"/>
          <w:color w:val="auto"/>
          <w:sz w:val="18"/>
          <w:szCs w:val="18"/>
          <w:u w:val="none"/>
        </w:rPr>
        <w:t xml:space="preserve">; </w:t>
      </w:r>
      <w:r w:rsidRPr="0007363B">
        <w:rPr>
          <w:rStyle w:val="Hyperlink"/>
          <w:color w:val="auto"/>
          <w:sz w:val="18"/>
          <w:szCs w:val="18"/>
          <w:u w:val="none"/>
        </w:rPr>
        <w:t>World</w:t>
      </w:r>
      <w:r w:rsidRPr="009E59A1">
        <w:rPr>
          <w:rStyle w:val="Hyperlink"/>
          <w:color w:val="auto"/>
          <w:sz w:val="18"/>
          <w:szCs w:val="18"/>
          <w:u w:val="none"/>
        </w:rPr>
        <w:t xml:space="preserve"> Professional Association for Transgender Health (WPATH), </w:t>
      </w:r>
      <w:hyperlink r:id="rId6" w:history="1">
        <w:r w:rsidR="0007363B" w:rsidRPr="00D86B96">
          <w:rPr>
            <w:rStyle w:val="Hyperlink"/>
            <w:sz w:val="18"/>
            <w:szCs w:val="18"/>
          </w:rPr>
          <w:t>https://wpath.org/media/cms/Documents/SOC%20v7/Standards%20of%20Care_V7%20Full%20Book_English.pdf</w:t>
        </w:r>
      </w:hyperlink>
      <w:r w:rsidRPr="009E59A1">
        <w:rPr>
          <w:rStyle w:val="Hyperlink"/>
          <w:sz w:val="18"/>
          <w:szCs w:val="18"/>
        </w:rPr>
        <w:t xml:space="preserve">; </w:t>
      </w:r>
      <w:r w:rsidR="009E59A1">
        <w:rPr>
          <w:rStyle w:val="Hyperlink"/>
          <w:sz w:val="18"/>
          <w:szCs w:val="18"/>
        </w:rPr>
        <w:t>\</w:t>
      </w:r>
      <w:r w:rsidR="0007363B" w:rsidRPr="0007363B">
        <w:rPr>
          <w:rStyle w:val="Hyperlink"/>
          <w:color w:val="auto"/>
          <w:sz w:val="18"/>
          <w:szCs w:val="18"/>
          <w:u w:val="none"/>
        </w:rPr>
        <w:t xml:space="preserve">; </w:t>
      </w:r>
      <w:r w:rsidRPr="009E59A1">
        <w:rPr>
          <w:rStyle w:val="Hyperlink"/>
          <w:color w:val="auto"/>
          <w:sz w:val="18"/>
          <w:szCs w:val="18"/>
          <w:u w:val="none"/>
        </w:rPr>
        <w:t>Fenway Institute National LGBT Health Education Center</w:t>
      </w:r>
      <w:r w:rsidR="0007363B">
        <w:rPr>
          <w:rStyle w:val="Hyperlink"/>
          <w:color w:val="auto"/>
          <w:sz w:val="18"/>
          <w:szCs w:val="18"/>
          <w:u w:val="none"/>
        </w:rPr>
        <w:t xml:space="preserve">, </w:t>
      </w:r>
      <w:hyperlink r:id="rId7" w:history="1">
        <w:r w:rsidR="007666B1" w:rsidRPr="007666B1">
          <w:rPr>
            <w:rStyle w:val="Hyperlink"/>
            <w:sz w:val="18"/>
            <w:szCs w:val="18"/>
          </w:rPr>
          <w:t>https://fenwayhealth.org/new-paper-offers-recommendations-for-collecting-so-gi-patient-data/</w:t>
        </w:r>
      </w:hyperlink>
    </w:p>
  </w:footnote>
  <w:footnote w:id="6">
    <w:p w14:paraId="724ECA37" w14:textId="18F0504B" w:rsidR="00800B29" w:rsidRDefault="00800B29">
      <w:pPr>
        <w:pStyle w:val="FootnoteText"/>
      </w:pPr>
      <w:r>
        <w:rPr>
          <w:rStyle w:val="FootnoteReference"/>
        </w:rPr>
        <w:footnoteRef/>
      </w:r>
      <w:r>
        <w:t xml:space="preserve"> </w:t>
      </w:r>
      <w:hyperlink r:id="rId8" w:tgtFrame="_blank" w:tooltip="Persistent link using digital object identifier" w:history="1">
        <w:r w:rsidRPr="00846839">
          <w:rPr>
            <w:rStyle w:val="Hyperlink"/>
            <w:sz w:val="18"/>
            <w:szCs w:val="18"/>
          </w:rPr>
          <w:t>https://doi.org/10.1016/S2352-3018(19)30269-3</w:t>
        </w:r>
      </w:hyperlink>
    </w:p>
  </w:footnote>
  <w:footnote w:id="7">
    <w:p w14:paraId="676D3A02" w14:textId="4D0C2E8E" w:rsidR="00800B29" w:rsidRPr="00EC199C" w:rsidRDefault="00800B29">
      <w:pPr>
        <w:pStyle w:val="FootnoteText"/>
        <w:rPr>
          <w:rStyle w:val="Hyperlink"/>
          <w:sz w:val="18"/>
          <w:szCs w:val="18"/>
        </w:rPr>
      </w:pPr>
      <w:r>
        <w:rPr>
          <w:rStyle w:val="FootnoteReference"/>
        </w:rPr>
        <w:footnoteRef/>
      </w:r>
      <w:r>
        <w:t xml:space="preserve"> </w:t>
      </w:r>
      <w:hyperlink r:id="rId9" w:history="1">
        <w:r w:rsidRPr="00EC199C">
          <w:rPr>
            <w:rStyle w:val="Hyperlink"/>
          </w:rPr>
          <w:t>https://www.nejm.org/doi/full/10.1056/nejmoa1506273</w:t>
        </w:r>
      </w:hyperlink>
    </w:p>
  </w:footnote>
  <w:footnote w:id="8">
    <w:p w14:paraId="6C181F64" w14:textId="77777777" w:rsidR="00800B29" w:rsidRPr="006B123F" w:rsidRDefault="00800B29" w:rsidP="00800B29">
      <w:pPr>
        <w:pStyle w:val="EndnoteText"/>
        <w:rPr>
          <w:color w:val="0563C1" w:themeColor="hyperlink"/>
          <w:sz w:val="18"/>
          <w:szCs w:val="18"/>
          <w:u w:val="single"/>
        </w:rPr>
      </w:pPr>
      <w:r>
        <w:rPr>
          <w:rStyle w:val="FootnoteReference"/>
        </w:rPr>
        <w:footnoteRef/>
      </w:r>
      <w:r>
        <w:t xml:space="preserve"> </w:t>
      </w:r>
      <w:hyperlink r:id="rId10" w:history="1">
        <w:r w:rsidRPr="00122A6A">
          <w:rPr>
            <w:rStyle w:val="Hyperlink"/>
            <w:sz w:val="18"/>
            <w:szCs w:val="18"/>
          </w:rPr>
          <w:t>http://www.aidsmap.com/news/sep-2017/experts-concur-event-related-oral-prep-probably-wont-work-women</w:t>
        </w:r>
      </w:hyperlink>
    </w:p>
    <w:p w14:paraId="747932CA" w14:textId="77777777" w:rsidR="00800B29" w:rsidRPr="00FF1CA4" w:rsidRDefault="00800B29" w:rsidP="00800B29">
      <w:pPr>
        <w:rPr>
          <w:sz w:val="18"/>
          <w:szCs w:val="18"/>
        </w:rPr>
      </w:pPr>
    </w:p>
    <w:p w14:paraId="7279ECAD" w14:textId="36EFD9B6" w:rsidR="00800B29" w:rsidRDefault="00800B2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8BF"/>
    <w:multiLevelType w:val="hybridMultilevel"/>
    <w:tmpl w:val="6E924522"/>
    <w:lvl w:ilvl="0" w:tplc="9C029B8A">
      <w:start w:val="1"/>
      <w:numFmt w:val="decimal"/>
      <w:lvlText w:val="%1."/>
      <w:lvlJc w:val="left"/>
      <w:pPr>
        <w:tabs>
          <w:tab w:val="num" w:pos="720"/>
        </w:tabs>
        <w:ind w:left="720" w:hanging="360"/>
      </w:pPr>
    </w:lvl>
    <w:lvl w:ilvl="1" w:tplc="A4968E7A" w:tentative="1">
      <w:start w:val="1"/>
      <w:numFmt w:val="decimal"/>
      <w:lvlText w:val="%2."/>
      <w:lvlJc w:val="left"/>
      <w:pPr>
        <w:tabs>
          <w:tab w:val="num" w:pos="1440"/>
        </w:tabs>
        <w:ind w:left="1440" w:hanging="360"/>
      </w:pPr>
    </w:lvl>
    <w:lvl w:ilvl="2" w:tplc="4CCA3C78" w:tentative="1">
      <w:start w:val="1"/>
      <w:numFmt w:val="decimal"/>
      <w:lvlText w:val="%3."/>
      <w:lvlJc w:val="left"/>
      <w:pPr>
        <w:tabs>
          <w:tab w:val="num" w:pos="2160"/>
        </w:tabs>
        <w:ind w:left="2160" w:hanging="360"/>
      </w:pPr>
    </w:lvl>
    <w:lvl w:ilvl="3" w:tplc="3548979A" w:tentative="1">
      <w:start w:val="1"/>
      <w:numFmt w:val="decimal"/>
      <w:lvlText w:val="%4."/>
      <w:lvlJc w:val="left"/>
      <w:pPr>
        <w:tabs>
          <w:tab w:val="num" w:pos="2880"/>
        </w:tabs>
        <w:ind w:left="2880" w:hanging="360"/>
      </w:pPr>
    </w:lvl>
    <w:lvl w:ilvl="4" w:tplc="6EFC1F8C" w:tentative="1">
      <w:start w:val="1"/>
      <w:numFmt w:val="decimal"/>
      <w:lvlText w:val="%5."/>
      <w:lvlJc w:val="left"/>
      <w:pPr>
        <w:tabs>
          <w:tab w:val="num" w:pos="3600"/>
        </w:tabs>
        <w:ind w:left="3600" w:hanging="360"/>
      </w:pPr>
    </w:lvl>
    <w:lvl w:ilvl="5" w:tplc="8480BB70" w:tentative="1">
      <w:start w:val="1"/>
      <w:numFmt w:val="decimal"/>
      <w:lvlText w:val="%6."/>
      <w:lvlJc w:val="left"/>
      <w:pPr>
        <w:tabs>
          <w:tab w:val="num" w:pos="4320"/>
        </w:tabs>
        <w:ind w:left="4320" w:hanging="360"/>
      </w:pPr>
    </w:lvl>
    <w:lvl w:ilvl="6" w:tplc="70C49014" w:tentative="1">
      <w:start w:val="1"/>
      <w:numFmt w:val="decimal"/>
      <w:lvlText w:val="%7."/>
      <w:lvlJc w:val="left"/>
      <w:pPr>
        <w:tabs>
          <w:tab w:val="num" w:pos="5040"/>
        </w:tabs>
        <w:ind w:left="5040" w:hanging="360"/>
      </w:pPr>
    </w:lvl>
    <w:lvl w:ilvl="7" w:tplc="B4DE5EB8" w:tentative="1">
      <w:start w:val="1"/>
      <w:numFmt w:val="decimal"/>
      <w:lvlText w:val="%8."/>
      <w:lvlJc w:val="left"/>
      <w:pPr>
        <w:tabs>
          <w:tab w:val="num" w:pos="5760"/>
        </w:tabs>
        <w:ind w:left="5760" w:hanging="360"/>
      </w:pPr>
    </w:lvl>
    <w:lvl w:ilvl="8" w:tplc="1022400E" w:tentative="1">
      <w:start w:val="1"/>
      <w:numFmt w:val="decimal"/>
      <w:lvlText w:val="%9."/>
      <w:lvlJc w:val="left"/>
      <w:pPr>
        <w:tabs>
          <w:tab w:val="num" w:pos="6480"/>
        </w:tabs>
        <w:ind w:left="6480" w:hanging="360"/>
      </w:pPr>
    </w:lvl>
  </w:abstractNum>
  <w:abstractNum w:abstractNumId="1" w15:restartNumberingAfterBreak="0">
    <w:nsid w:val="09B40217"/>
    <w:multiLevelType w:val="hybridMultilevel"/>
    <w:tmpl w:val="6DB8CB3A"/>
    <w:lvl w:ilvl="0" w:tplc="6F1E3586">
      <w:start w:val="1"/>
      <w:numFmt w:val="decimal"/>
      <w:pStyle w:val="Inclusion"/>
      <w:lvlText w:val="%1."/>
      <w:lvlJc w:val="left"/>
      <w:pPr>
        <w:ind w:left="1440" w:hanging="360"/>
      </w:pPr>
      <w:rPr>
        <w:rFonts w:hint="default"/>
        <w:sz w:val="22"/>
        <w:szCs w:val="22"/>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B91ECE"/>
    <w:multiLevelType w:val="hybridMultilevel"/>
    <w:tmpl w:val="1414BECE"/>
    <w:lvl w:ilvl="0" w:tplc="5B0436C6">
      <w:start w:val="1"/>
      <w:numFmt w:val="bullet"/>
      <w:lvlText w:val=""/>
      <w:lvlJc w:val="left"/>
      <w:pPr>
        <w:tabs>
          <w:tab w:val="num" w:pos="720"/>
        </w:tabs>
        <w:ind w:left="720" w:hanging="360"/>
      </w:pPr>
      <w:rPr>
        <w:rFonts w:ascii="Wingdings" w:hAnsi="Wingdings" w:hint="default"/>
      </w:rPr>
    </w:lvl>
    <w:lvl w:ilvl="1" w:tplc="BAB0ACB0" w:tentative="1">
      <w:start w:val="1"/>
      <w:numFmt w:val="bullet"/>
      <w:lvlText w:val=""/>
      <w:lvlJc w:val="left"/>
      <w:pPr>
        <w:tabs>
          <w:tab w:val="num" w:pos="1440"/>
        </w:tabs>
        <w:ind w:left="1440" w:hanging="360"/>
      </w:pPr>
      <w:rPr>
        <w:rFonts w:ascii="Wingdings" w:hAnsi="Wingdings" w:hint="default"/>
      </w:rPr>
    </w:lvl>
    <w:lvl w:ilvl="2" w:tplc="7A102566" w:tentative="1">
      <w:start w:val="1"/>
      <w:numFmt w:val="bullet"/>
      <w:lvlText w:val=""/>
      <w:lvlJc w:val="left"/>
      <w:pPr>
        <w:tabs>
          <w:tab w:val="num" w:pos="2160"/>
        </w:tabs>
        <w:ind w:left="2160" w:hanging="360"/>
      </w:pPr>
      <w:rPr>
        <w:rFonts w:ascii="Wingdings" w:hAnsi="Wingdings" w:hint="default"/>
      </w:rPr>
    </w:lvl>
    <w:lvl w:ilvl="3" w:tplc="3BE07138" w:tentative="1">
      <w:start w:val="1"/>
      <w:numFmt w:val="bullet"/>
      <w:lvlText w:val=""/>
      <w:lvlJc w:val="left"/>
      <w:pPr>
        <w:tabs>
          <w:tab w:val="num" w:pos="2880"/>
        </w:tabs>
        <w:ind w:left="2880" w:hanging="360"/>
      </w:pPr>
      <w:rPr>
        <w:rFonts w:ascii="Wingdings" w:hAnsi="Wingdings" w:hint="default"/>
      </w:rPr>
    </w:lvl>
    <w:lvl w:ilvl="4" w:tplc="EFEAA7F0" w:tentative="1">
      <w:start w:val="1"/>
      <w:numFmt w:val="bullet"/>
      <w:lvlText w:val=""/>
      <w:lvlJc w:val="left"/>
      <w:pPr>
        <w:tabs>
          <w:tab w:val="num" w:pos="3600"/>
        </w:tabs>
        <w:ind w:left="3600" w:hanging="360"/>
      </w:pPr>
      <w:rPr>
        <w:rFonts w:ascii="Wingdings" w:hAnsi="Wingdings" w:hint="default"/>
      </w:rPr>
    </w:lvl>
    <w:lvl w:ilvl="5" w:tplc="18B67318" w:tentative="1">
      <w:start w:val="1"/>
      <w:numFmt w:val="bullet"/>
      <w:lvlText w:val=""/>
      <w:lvlJc w:val="left"/>
      <w:pPr>
        <w:tabs>
          <w:tab w:val="num" w:pos="4320"/>
        </w:tabs>
        <w:ind w:left="4320" w:hanging="360"/>
      </w:pPr>
      <w:rPr>
        <w:rFonts w:ascii="Wingdings" w:hAnsi="Wingdings" w:hint="default"/>
      </w:rPr>
    </w:lvl>
    <w:lvl w:ilvl="6" w:tplc="ED5A1554" w:tentative="1">
      <w:start w:val="1"/>
      <w:numFmt w:val="bullet"/>
      <w:lvlText w:val=""/>
      <w:lvlJc w:val="left"/>
      <w:pPr>
        <w:tabs>
          <w:tab w:val="num" w:pos="5040"/>
        </w:tabs>
        <w:ind w:left="5040" w:hanging="360"/>
      </w:pPr>
      <w:rPr>
        <w:rFonts w:ascii="Wingdings" w:hAnsi="Wingdings" w:hint="default"/>
      </w:rPr>
    </w:lvl>
    <w:lvl w:ilvl="7" w:tplc="79AC49B6" w:tentative="1">
      <w:start w:val="1"/>
      <w:numFmt w:val="bullet"/>
      <w:lvlText w:val=""/>
      <w:lvlJc w:val="left"/>
      <w:pPr>
        <w:tabs>
          <w:tab w:val="num" w:pos="5760"/>
        </w:tabs>
        <w:ind w:left="5760" w:hanging="360"/>
      </w:pPr>
      <w:rPr>
        <w:rFonts w:ascii="Wingdings" w:hAnsi="Wingdings" w:hint="default"/>
      </w:rPr>
    </w:lvl>
    <w:lvl w:ilvl="8" w:tplc="216A2B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82542"/>
    <w:multiLevelType w:val="hybridMultilevel"/>
    <w:tmpl w:val="109EF6D0"/>
    <w:lvl w:ilvl="0" w:tplc="05A49E6A">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56C48"/>
    <w:multiLevelType w:val="hybridMultilevel"/>
    <w:tmpl w:val="AE68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40186"/>
    <w:multiLevelType w:val="hybridMultilevel"/>
    <w:tmpl w:val="58589D0A"/>
    <w:lvl w:ilvl="0" w:tplc="2AE6424C">
      <w:start w:val="1"/>
      <w:numFmt w:val="bullet"/>
      <w:lvlText w:val=""/>
      <w:lvlJc w:val="left"/>
      <w:pPr>
        <w:tabs>
          <w:tab w:val="num" w:pos="720"/>
        </w:tabs>
        <w:ind w:left="720" w:hanging="360"/>
      </w:pPr>
      <w:rPr>
        <w:rFonts w:ascii="Wingdings" w:hAnsi="Wingdings" w:hint="default"/>
      </w:rPr>
    </w:lvl>
    <w:lvl w:ilvl="1" w:tplc="ECCAB67A" w:tentative="1">
      <w:start w:val="1"/>
      <w:numFmt w:val="bullet"/>
      <w:lvlText w:val=""/>
      <w:lvlJc w:val="left"/>
      <w:pPr>
        <w:tabs>
          <w:tab w:val="num" w:pos="1440"/>
        </w:tabs>
        <w:ind w:left="1440" w:hanging="360"/>
      </w:pPr>
      <w:rPr>
        <w:rFonts w:ascii="Wingdings" w:hAnsi="Wingdings" w:hint="default"/>
      </w:rPr>
    </w:lvl>
    <w:lvl w:ilvl="2" w:tplc="1F685AA2" w:tentative="1">
      <w:start w:val="1"/>
      <w:numFmt w:val="bullet"/>
      <w:lvlText w:val=""/>
      <w:lvlJc w:val="left"/>
      <w:pPr>
        <w:tabs>
          <w:tab w:val="num" w:pos="2160"/>
        </w:tabs>
        <w:ind w:left="2160" w:hanging="360"/>
      </w:pPr>
      <w:rPr>
        <w:rFonts w:ascii="Wingdings" w:hAnsi="Wingdings" w:hint="default"/>
      </w:rPr>
    </w:lvl>
    <w:lvl w:ilvl="3" w:tplc="4B707EB8" w:tentative="1">
      <w:start w:val="1"/>
      <w:numFmt w:val="bullet"/>
      <w:lvlText w:val=""/>
      <w:lvlJc w:val="left"/>
      <w:pPr>
        <w:tabs>
          <w:tab w:val="num" w:pos="2880"/>
        </w:tabs>
        <w:ind w:left="2880" w:hanging="360"/>
      </w:pPr>
      <w:rPr>
        <w:rFonts w:ascii="Wingdings" w:hAnsi="Wingdings" w:hint="default"/>
      </w:rPr>
    </w:lvl>
    <w:lvl w:ilvl="4" w:tplc="FC20F046" w:tentative="1">
      <w:start w:val="1"/>
      <w:numFmt w:val="bullet"/>
      <w:lvlText w:val=""/>
      <w:lvlJc w:val="left"/>
      <w:pPr>
        <w:tabs>
          <w:tab w:val="num" w:pos="3600"/>
        </w:tabs>
        <w:ind w:left="3600" w:hanging="360"/>
      </w:pPr>
      <w:rPr>
        <w:rFonts w:ascii="Wingdings" w:hAnsi="Wingdings" w:hint="default"/>
      </w:rPr>
    </w:lvl>
    <w:lvl w:ilvl="5" w:tplc="5F26A4A4" w:tentative="1">
      <w:start w:val="1"/>
      <w:numFmt w:val="bullet"/>
      <w:lvlText w:val=""/>
      <w:lvlJc w:val="left"/>
      <w:pPr>
        <w:tabs>
          <w:tab w:val="num" w:pos="4320"/>
        </w:tabs>
        <w:ind w:left="4320" w:hanging="360"/>
      </w:pPr>
      <w:rPr>
        <w:rFonts w:ascii="Wingdings" w:hAnsi="Wingdings" w:hint="default"/>
      </w:rPr>
    </w:lvl>
    <w:lvl w:ilvl="6" w:tplc="C8586310" w:tentative="1">
      <w:start w:val="1"/>
      <w:numFmt w:val="bullet"/>
      <w:lvlText w:val=""/>
      <w:lvlJc w:val="left"/>
      <w:pPr>
        <w:tabs>
          <w:tab w:val="num" w:pos="5040"/>
        </w:tabs>
        <w:ind w:left="5040" w:hanging="360"/>
      </w:pPr>
      <w:rPr>
        <w:rFonts w:ascii="Wingdings" w:hAnsi="Wingdings" w:hint="default"/>
      </w:rPr>
    </w:lvl>
    <w:lvl w:ilvl="7" w:tplc="F78C385E" w:tentative="1">
      <w:start w:val="1"/>
      <w:numFmt w:val="bullet"/>
      <w:lvlText w:val=""/>
      <w:lvlJc w:val="left"/>
      <w:pPr>
        <w:tabs>
          <w:tab w:val="num" w:pos="5760"/>
        </w:tabs>
        <w:ind w:left="5760" w:hanging="360"/>
      </w:pPr>
      <w:rPr>
        <w:rFonts w:ascii="Wingdings" w:hAnsi="Wingdings" w:hint="default"/>
      </w:rPr>
    </w:lvl>
    <w:lvl w:ilvl="8" w:tplc="DBBC6E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010BF"/>
    <w:multiLevelType w:val="hybridMultilevel"/>
    <w:tmpl w:val="CD56E39A"/>
    <w:lvl w:ilvl="0" w:tplc="05A49E6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733A7"/>
    <w:multiLevelType w:val="hybridMultilevel"/>
    <w:tmpl w:val="03FC1F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83503"/>
    <w:multiLevelType w:val="hybridMultilevel"/>
    <w:tmpl w:val="D6A86C24"/>
    <w:lvl w:ilvl="0" w:tplc="9FC49E5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034A7F"/>
    <w:multiLevelType w:val="hybridMultilevel"/>
    <w:tmpl w:val="645A35E4"/>
    <w:lvl w:ilvl="0" w:tplc="F968A814">
      <w:start w:val="1"/>
      <w:numFmt w:val="bullet"/>
      <w:lvlText w:val=""/>
      <w:lvlJc w:val="left"/>
      <w:pPr>
        <w:tabs>
          <w:tab w:val="num" w:pos="720"/>
        </w:tabs>
        <w:ind w:left="720" w:hanging="360"/>
      </w:pPr>
      <w:rPr>
        <w:rFonts w:ascii="Wingdings" w:hAnsi="Wingdings" w:hint="default"/>
      </w:rPr>
    </w:lvl>
    <w:lvl w:ilvl="1" w:tplc="86003532" w:tentative="1">
      <w:start w:val="1"/>
      <w:numFmt w:val="bullet"/>
      <w:lvlText w:val=""/>
      <w:lvlJc w:val="left"/>
      <w:pPr>
        <w:tabs>
          <w:tab w:val="num" w:pos="1440"/>
        </w:tabs>
        <w:ind w:left="1440" w:hanging="360"/>
      </w:pPr>
      <w:rPr>
        <w:rFonts w:ascii="Wingdings" w:hAnsi="Wingdings" w:hint="default"/>
      </w:rPr>
    </w:lvl>
    <w:lvl w:ilvl="2" w:tplc="1890C492" w:tentative="1">
      <w:start w:val="1"/>
      <w:numFmt w:val="bullet"/>
      <w:lvlText w:val=""/>
      <w:lvlJc w:val="left"/>
      <w:pPr>
        <w:tabs>
          <w:tab w:val="num" w:pos="2160"/>
        </w:tabs>
        <w:ind w:left="2160" w:hanging="360"/>
      </w:pPr>
      <w:rPr>
        <w:rFonts w:ascii="Wingdings" w:hAnsi="Wingdings" w:hint="default"/>
      </w:rPr>
    </w:lvl>
    <w:lvl w:ilvl="3" w:tplc="9DD2E938" w:tentative="1">
      <w:start w:val="1"/>
      <w:numFmt w:val="bullet"/>
      <w:lvlText w:val=""/>
      <w:lvlJc w:val="left"/>
      <w:pPr>
        <w:tabs>
          <w:tab w:val="num" w:pos="2880"/>
        </w:tabs>
        <w:ind w:left="2880" w:hanging="360"/>
      </w:pPr>
      <w:rPr>
        <w:rFonts w:ascii="Wingdings" w:hAnsi="Wingdings" w:hint="default"/>
      </w:rPr>
    </w:lvl>
    <w:lvl w:ilvl="4" w:tplc="8EBAE984" w:tentative="1">
      <w:start w:val="1"/>
      <w:numFmt w:val="bullet"/>
      <w:lvlText w:val=""/>
      <w:lvlJc w:val="left"/>
      <w:pPr>
        <w:tabs>
          <w:tab w:val="num" w:pos="3600"/>
        </w:tabs>
        <w:ind w:left="3600" w:hanging="360"/>
      </w:pPr>
      <w:rPr>
        <w:rFonts w:ascii="Wingdings" w:hAnsi="Wingdings" w:hint="default"/>
      </w:rPr>
    </w:lvl>
    <w:lvl w:ilvl="5" w:tplc="086EB52C" w:tentative="1">
      <w:start w:val="1"/>
      <w:numFmt w:val="bullet"/>
      <w:lvlText w:val=""/>
      <w:lvlJc w:val="left"/>
      <w:pPr>
        <w:tabs>
          <w:tab w:val="num" w:pos="4320"/>
        </w:tabs>
        <w:ind w:left="4320" w:hanging="360"/>
      </w:pPr>
      <w:rPr>
        <w:rFonts w:ascii="Wingdings" w:hAnsi="Wingdings" w:hint="default"/>
      </w:rPr>
    </w:lvl>
    <w:lvl w:ilvl="6" w:tplc="E47E37A8" w:tentative="1">
      <w:start w:val="1"/>
      <w:numFmt w:val="bullet"/>
      <w:lvlText w:val=""/>
      <w:lvlJc w:val="left"/>
      <w:pPr>
        <w:tabs>
          <w:tab w:val="num" w:pos="5040"/>
        </w:tabs>
        <w:ind w:left="5040" w:hanging="360"/>
      </w:pPr>
      <w:rPr>
        <w:rFonts w:ascii="Wingdings" w:hAnsi="Wingdings" w:hint="default"/>
      </w:rPr>
    </w:lvl>
    <w:lvl w:ilvl="7" w:tplc="80D4C24E" w:tentative="1">
      <w:start w:val="1"/>
      <w:numFmt w:val="bullet"/>
      <w:lvlText w:val=""/>
      <w:lvlJc w:val="left"/>
      <w:pPr>
        <w:tabs>
          <w:tab w:val="num" w:pos="5760"/>
        </w:tabs>
        <w:ind w:left="5760" w:hanging="360"/>
      </w:pPr>
      <w:rPr>
        <w:rFonts w:ascii="Wingdings" w:hAnsi="Wingdings" w:hint="default"/>
      </w:rPr>
    </w:lvl>
    <w:lvl w:ilvl="8" w:tplc="DC6C98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C4C61"/>
    <w:multiLevelType w:val="hybridMultilevel"/>
    <w:tmpl w:val="10C6D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13D40"/>
    <w:multiLevelType w:val="hybridMultilevel"/>
    <w:tmpl w:val="B0E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230F2"/>
    <w:multiLevelType w:val="hybridMultilevel"/>
    <w:tmpl w:val="C46E27CA"/>
    <w:lvl w:ilvl="0" w:tplc="F75C4062">
      <w:start w:val="1"/>
      <w:numFmt w:val="decimal"/>
      <w:lvlText w:val="%1."/>
      <w:lvlJc w:val="left"/>
      <w:pPr>
        <w:tabs>
          <w:tab w:val="num" w:pos="720"/>
        </w:tabs>
        <w:ind w:left="720" w:hanging="360"/>
      </w:pPr>
    </w:lvl>
    <w:lvl w:ilvl="1" w:tplc="49FE1F3A" w:tentative="1">
      <w:start w:val="1"/>
      <w:numFmt w:val="decimal"/>
      <w:lvlText w:val="%2."/>
      <w:lvlJc w:val="left"/>
      <w:pPr>
        <w:tabs>
          <w:tab w:val="num" w:pos="1440"/>
        </w:tabs>
        <w:ind w:left="1440" w:hanging="360"/>
      </w:pPr>
    </w:lvl>
    <w:lvl w:ilvl="2" w:tplc="4EDCE81C" w:tentative="1">
      <w:start w:val="1"/>
      <w:numFmt w:val="decimal"/>
      <w:lvlText w:val="%3."/>
      <w:lvlJc w:val="left"/>
      <w:pPr>
        <w:tabs>
          <w:tab w:val="num" w:pos="2160"/>
        </w:tabs>
        <w:ind w:left="2160" w:hanging="360"/>
      </w:pPr>
    </w:lvl>
    <w:lvl w:ilvl="3" w:tplc="3D381728" w:tentative="1">
      <w:start w:val="1"/>
      <w:numFmt w:val="decimal"/>
      <w:lvlText w:val="%4."/>
      <w:lvlJc w:val="left"/>
      <w:pPr>
        <w:tabs>
          <w:tab w:val="num" w:pos="2880"/>
        </w:tabs>
        <w:ind w:left="2880" w:hanging="360"/>
      </w:pPr>
    </w:lvl>
    <w:lvl w:ilvl="4" w:tplc="B9B4E146" w:tentative="1">
      <w:start w:val="1"/>
      <w:numFmt w:val="decimal"/>
      <w:lvlText w:val="%5."/>
      <w:lvlJc w:val="left"/>
      <w:pPr>
        <w:tabs>
          <w:tab w:val="num" w:pos="3600"/>
        </w:tabs>
        <w:ind w:left="3600" w:hanging="360"/>
      </w:pPr>
    </w:lvl>
    <w:lvl w:ilvl="5" w:tplc="B91AA778" w:tentative="1">
      <w:start w:val="1"/>
      <w:numFmt w:val="decimal"/>
      <w:lvlText w:val="%6."/>
      <w:lvlJc w:val="left"/>
      <w:pPr>
        <w:tabs>
          <w:tab w:val="num" w:pos="4320"/>
        </w:tabs>
        <w:ind w:left="4320" w:hanging="360"/>
      </w:pPr>
    </w:lvl>
    <w:lvl w:ilvl="6" w:tplc="3D82018A" w:tentative="1">
      <w:start w:val="1"/>
      <w:numFmt w:val="decimal"/>
      <w:lvlText w:val="%7."/>
      <w:lvlJc w:val="left"/>
      <w:pPr>
        <w:tabs>
          <w:tab w:val="num" w:pos="5040"/>
        </w:tabs>
        <w:ind w:left="5040" w:hanging="360"/>
      </w:pPr>
    </w:lvl>
    <w:lvl w:ilvl="7" w:tplc="59EC1208" w:tentative="1">
      <w:start w:val="1"/>
      <w:numFmt w:val="decimal"/>
      <w:lvlText w:val="%8."/>
      <w:lvlJc w:val="left"/>
      <w:pPr>
        <w:tabs>
          <w:tab w:val="num" w:pos="5760"/>
        </w:tabs>
        <w:ind w:left="5760" w:hanging="360"/>
      </w:pPr>
    </w:lvl>
    <w:lvl w:ilvl="8" w:tplc="12EA0BEE" w:tentative="1">
      <w:start w:val="1"/>
      <w:numFmt w:val="decimal"/>
      <w:lvlText w:val="%9."/>
      <w:lvlJc w:val="left"/>
      <w:pPr>
        <w:tabs>
          <w:tab w:val="num" w:pos="6480"/>
        </w:tabs>
        <w:ind w:left="6480" w:hanging="360"/>
      </w:pPr>
    </w:lvl>
  </w:abstractNum>
  <w:abstractNum w:abstractNumId="13" w15:restartNumberingAfterBreak="0">
    <w:nsid w:val="507268EB"/>
    <w:multiLevelType w:val="hybridMultilevel"/>
    <w:tmpl w:val="951E38EE"/>
    <w:lvl w:ilvl="0" w:tplc="77A0B174">
      <w:start w:val="1"/>
      <w:numFmt w:val="bullet"/>
      <w:lvlText w:val=""/>
      <w:lvlJc w:val="left"/>
      <w:pPr>
        <w:tabs>
          <w:tab w:val="num" w:pos="720"/>
        </w:tabs>
        <w:ind w:left="720" w:hanging="360"/>
      </w:pPr>
      <w:rPr>
        <w:rFonts w:ascii="Wingdings" w:hAnsi="Wingdings" w:hint="default"/>
      </w:rPr>
    </w:lvl>
    <w:lvl w:ilvl="1" w:tplc="52784354" w:tentative="1">
      <w:start w:val="1"/>
      <w:numFmt w:val="bullet"/>
      <w:lvlText w:val=""/>
      <w:lvlJc w:val="left"/>
      <w:pPr>
        <w:tabs>
          <w:tab w:val="num" w:pos="1440"/>
        </w:tabs>
        <w:ind w:left="1440" w:hanging="360"/>
      </w:pPr>
      <w:rPr>
        <w:rFonts w:ascii="Wingdings" w:hAnsi="Wingdings" w:hint="default"/>
      </w:rPr>
    </w:lvl>
    <w:lvl w:ilvl="2" w:tplc="826C054C" w:tentative="1">
      <w:start w:val="1"/>
      <w:numFmt w:val="bullet"/>
      <w:lvlText w:val=""/>
      <w:lvlJc w:val="left"/>
      <w:pPr>
        <w:tabs>
          <w:tab w:val="num" w:pos="2160"/>
        </w:tabs>
        <w:ind w:left="2160" w:hanging="360"/>
      </w:pPr>
      <w:rPr>
        <w:rFonts w:ascii="Wingdings" w:hAnsi="Wingdings" w:hint="default"/>
      </w:rPr>
    </w:lvl>
    <w:lvl w:ilvl="3" w:tplc="90603994" w:tentative="1">
      <w:start w:val="1"/>
      <w:numFmt w:val="bullet"/>
      <w:lvlText w:val=""/>
      <w:lvlJc w:val="left"/>
      <w:pPr>
        <w:tabs>
          <w:tab w:val="num" w:pos="2880"/>
        </w:tabs>
        <w:ind w:left="2880" w:hanging="360"/>
      </w:pPr>
      <w:rPr>
        <w:rFonts w:ascii="Wingdings" w:hAnsi="Wingdings" w:hint="default"/>
      </w:rPr>
    </w:lvl>
    <w:lvl w:ilvl="4" w:tplc="4AD40256" w:tentative="1">
      <w:start w:val="1"/>
      <w:numFmt w:val="bullet"/>
      <w:lvlText w:val=""/>
      <w:lvlJc w:val="left"/>
      <w:pPr>
        <w:tabs>
          <w:tab w:val="num" w:pos="3600"/>
        </w:tabs>
        <w:ind w:left="3600" w:hanging="360"/>
      </w:pPr>
      <w:rPr>
        <w:rFonts w:ascii="Wingdings" w:hAnsi="Wingdings" w:hint="default"/>
      </w:rPr>
    </w:lvl>
    <w:lvl w:ilvl="5" w:tplc="E93E8D74" w:tentative="1">
      <w:start w:val="1"/>
      <w:numFmt w:val="bullet"/>
      <w:lvlText w:val=""/>
      <w:lvlJc w:val="left"/>
      <w:pPr>
        <w:tabs>
          <w:tab w:val="num" w:pos="4320"/>
        </w:tabs>
        <w:ind w:left="4320" w:hanging="360"/>
      </w:pPr>
      <w:rPr>
        <w:rFonts w:ascii="Wingdings" w:hAnsi="Wingdings" w:hint="default"/>
      </w:rPr>
    </w:lvl>
    <w:lvl w:ilvl="6" w:tplc="35EAB192" w:tentative="1">
      <w:start w:val="1"/>
      <w:numFmt w:val="bullet"/>
      <w:lvlText w:val=""/>
      <w:lvlJc w:val="left"/>
      <w:pPr>
        <w:tabs>
          <w:tab w:val="num" w:pos="5040"/>
        </w:tabs>
        <w:ind w:left="5040" w:hanging="360"/>
      </w:pPr>
      <w:rPr>
        <w:rFonts w:ascii="Wingdings" w:hAnsi="Wingdings" w:hint="default"/>
      </w:rPr>
    </w:lvl>
    <w:lvl w:ilvl="7" w:tplc="B1325948" w:tentative="1">
      <w:start w:val="1"/>
      <w:numFmt w:val="bullet"/>
      <w:lvlText w:val=""/>
      <w:lvlJc w:val="left"/>
      <w:pPr>
        <w:tabs>
          <w:tab w:val="num" w:pos="5760"/>
        </w:tabs>
        <w:ind w:left="5760" w:hanging="360"/>
      </w:pPr>
      <w:rPr>
        <w:rFonts w:ascii="Wingdings" w:hAnsi="Wingdings" w:hint="default"/>
      </w:rPr>
    </w:lvl>
    <w:lvl w:ilvl="8" w:tplc="73421A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DD1BE4"/>
    <w:multiLevelType w:val="hybridMultilevel"/>
    <w:tmpl w:val="662C3382"/>
    <w:lvl w:ilvl="0" w:tplc="7D546940">
      <w:start w:val="1"/>
      <w:numFmt w:val="bullet"/>
      <w:lvlText w:val=""/>
      <w:lvlJc w:val="left"/>
      <w:pPr>
        <w:tabs>
          <w:tab w:val="num" w:pos="720"/>
        </w:tabs>
        <w:ind w:left="720" w:hanging="360"/>
      </w:pPr>
      <w:rPr>
        <w:rFonts w:ascii="Wingdings" w:hAnsi="Wingdings" w:hint="default"/>
      </w:rPr>
    </w:lvl>
    <w:lvl w:ilvl="1" w:tplc="1F487CB8" w:tentative="1">
      <w:start w:val="1"/>
      <w:numFmt w:val="bullet"/>
      <w:lvlText w:val=""/>
      <w:lvlJc w:val="left"/>
      <w:pPr>
        <w:tabs>
          <w:tab w:val="num" w:pos="1440"/>
        </w:tabs>
        <w:ind w:left="1440" w:hanging="360"/>
      </w:pPr>
      <w:rPr>
        <w:rFonts w:ascii="Wingdings" w:hAnsi="Wingdings" w:hint="default"/>
      </w:rPr>
    </w:lvl>
    <w:lvl w:ilvl="2" w:tplc="215E5872" w:tentative="1">
      <w:start w:val="1"/>
      <w:numFmt w:val="bullet"/>
      <w:lvlText w:val=""/>
      <w:lvlJc w:val="left"/>
      <w:pPr>
        <w:tabs>
          <w:tab w:val="num" w:pos="2160"/>
        </w:tabs>
        <w:ind w:left="2160" w:hanging="360"/>
      </w:pPr>
      <w:rPr>
        <w:rFonts w:ascii="Wingdings" w:hAnsi="Wingdings" w:hint="default"/>
      </w:rPr>
    </w:lvl>
    <w:lvl w:ilvl="3" w:tplc="A052FD08" w:tentative="1">
      <w:start w:val="1"/>
      <w:numFmt w:val="bullet"/>
      <w:lvlText w:val=""/>
      <w:lvlJc w:val="left"/>
      <w:pPr>
        <w:tabs>
          <w:tab w:val="num" w:pos="2880"/>
        </w:tabs>
        <w:ind w:left="2880" w:hanging="360"/>
      </w:pPr>
      <w:rPr>
        <w:rFonts w:ascii="Wingdings" w:hAnsi="Wingdings" w:hint="default"/>
      </w:rPr>
    </w:lvl>
    <w:lvl w:ilvl="4" w:tplc="DBA4DB22" w:tentative="1">
      <w:start w:val="1"/>
      <w:numFmt w:val="bullet"/>
      <w:lvlText w:val=""/>
      <w:lvlJc w:val="left"/>
      <w:pPr>
        <w:tabs>
          <w:tab w:val="num" w:pos="3600"/>
        </w:tabs>
        <w:ind w:left="3600" w:hanging="360"/>
      </w:pPr>
      <w:rPr>
        <w:rFonts w:ascii="Wingdings" w:hAnsi="Wingdings" w:hint="default"/>
      </w:rPr>
    </w:lvl>
    <w:lvl w:ilvl="5" w:tplc="25E636B8" w:tentative="1">
      <w:start w:val="1"/>
      <w:numFmt w:val="bullet"/>
      <w:lvlText w:val=""/>
      <w:lvlJc w:val="left"/>
      <w:pPr>
        <w:tabs>
          <w:tab w:val="num" w:pos="4320"/>
        </w:tabs>
        <w:ind w:left="4320" w:hanging="360"/>
      </w:pPr>
      <w:rPr>
        <w:rFonts w:ascii="Wingdings" w:hAnsi="Wingdings" w:hint="default"/>
      </w:rPr>
    </w:lvl>
    <w:lvl w:ilvl="6" w:tplc="86F4B432" w:tentative="1">
      <w:start w:val="1"/>
      <w:numFmt w:val="bullet"/>
      <w:lvlText w:val=""/>
      <w:lvlJc w:val="left"/>
      <w:pPr>
        <w:tabs>
          <w:tab w:val="num" w:pos="5040"/>
        </w:tabs>
        <w:ind w:left="5040" w:hanging="360"/>
      </w:pPr>
      <w:rPr>
        <w:rFonts w:ascii="Wingdings" w:hAnsi="Wingdings" w:hint="default"/>
      </w:rPr>
    </w:lvl>
    <w:lvl w:ilvl="7" w:tplc="843EE002" w:tentative="1">
      <w:start w:val="1"/>
      <w:numFmt w:val="bullet"/>
      <w:lvlText w:val=""/>
      <w:lvlJc w:val="left"/>
      <w:pPr>
        <w:tabs>
          <w:tab w:val="num" w:pos="5760"/>
        </w:tabs>
        <w:ind w:left="5760" w:hanging="360"/>
      </w:pPr>
      <w:rPr>
        <w:rFonts w:ascii="Wingdings" w:hAnsi="Wingdings" w:hint="default"/>
      </w:rPr>
    </w:lvl>
    <w:lvl w:ilvl="8" w:tplc="5CE05E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7E71BE"/>
    <w:multiLevelType w:val="multilevel"/>
    <w:tmpl w:val="B634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84191E"/>
    <w:multiLevelType w:val="hybridMultilevel"/>
    <w:tmpl w:val="6EF2C5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7A55FA"/>
    <w:multiLevelType w:val="hybridMultilevel"/>
    <w:tmpl w:val="B1AA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6"/>
  </w:num>
  <w:num w:numId="4">
    <w:abstractNumId w:val="4"/>
  </w:num>
  <w:num w:numId="5">
    <w:abstractNumId w:val="17"/>
  </w:num>
  <w:num w:numId="6">
    <w:abstractNumId w:val="14"/>
  </w:num>
  <w:num w:numId="7">
    <w:abstractNumId w:val="12"/>
  </w:num>
  <w:num w:numId="8">
    <w:abstractNumId w:val="5"/>
  </w:num>
  <w:num w:numId="9">
    <w:abstractNumId w:val="2"/>
  </w:num>
  <w:num w:numId="10">
    <w:abstractNumId w:val="0"/>
  </w:num>
  <w:num w:numId="11">
    <w:abstractNumId w:val="13"/>
  </w:num>
  <w:num w:numId="12">
    <w:abstractNumId w:val="9"/>
  </w:num>
  <w:num w:numId="13">
    <w:abstractNumId w:val="1"/>
    <w:lvlOverride w:ilvl="0">
      <w:startOverride w:val="1"/>
    </w:lvlOverride>
  </w:num>
  <w:num w:numId="14">
    <w:abstractNumId w:val="6"/>
  </w:num>
  <w:num w:numId="15">
    <w:abstractNumId w:val="1"/>
  </w:num>
  <w:num w:numId="16">
    <w:abstractNumId w:val="3"/>
  </w:num>
  <w:num w:numId="17">
    <w:abstractNumId w:val="15"/>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AA"/>
    <w:rsid w:val="00001939"/>
    <w:rsid w:val="0000560C"/>
    <w:rsid w:val="00015117"/>
    <w:rsid w:val="00020795"/>
    <w:rsid w:val="00035B72"/>
    <w:rsid w:val="00054207"/>
    <w:rsid w:val="00061523"/>
    <w:rsid w:val="0007363B"/>
    <w:rsid w:val="000879F0"/>
    <w:rsid w:val="000B7480"/>
    <w:rsid w:val="000C0D27"/>
    <w:rsid w:val="000C6431"/>
    <w:rsid w:val="000D2107"/>
    <w:rsid w:val="001045F1"/>
    <w:rsid w:val="00104830"/>
    <w:rsid w:val="001061F1"/>
    <w:rsid w:val="00120F0E"/>
    <w:rsid w:val="001339F2"/>
    <w:rsid w:val="00136ACD"/>
    <w:rsid w:val="00154001"/>
    <w:rsid w:val="001675DD"/>
    <w:rsid w:val="00184BF0"/>
    <w:rsid w:val="001A4E30"/>
    <w:rsid w:val="001A7205"/>
    <w:rsid w:val="001B4543"/>
    <w:rsid w:val="001B4555"/>
    <w:rsid w:val="001C086C"/>
    <w:rsid w:val="001C5C8A"/>
    <w:rsid w:val="001D5003"/>
    <w:rsid w:val="001E24F3"/>
    <w:rsid w:val="001F6D13"/>
    <w:rsid w:val="00210145"/>
    <w:rsid w:val="002116EF"/>
    <w:rsid w:val="00214B12"/>
    <w:rsid w:val="00230346"/>
    <w:rsid w:val="002321C4"/>
    <w:rsid w:val="002340B2"/>
    <w:rsid w:val="00244420"/>
    <w:rsid w:val="002529CE"/>
    <w:rsid w:val="002638F0"/>
    <w:rsid w:val="00264D5B"/>
    <w:rsid w:val="00273473"/>
    <w:rsid w:val="00280DEF"/>
    <w:rsid w:val="002918D0"/>
    <w:rsid w:val="00291D9D"/>
    <w:rsid w:val="0029401F"/>
    <w:rsid w:val="002D5469"/>
    <w:rsid w:val="002D6356"/>
    <w:rsid w:val="002E642F"/>
    <w:rsid w:val="002F6983"/>
    <w:rsid w:val="003365DE"/>
    <w:rsid w:val="003379B1"/>
    <w:rsid w:val="00346761"/>
    <w:rsid w:val="00371582"/>
    <w:rsid w:val="00377D2C"/>
    <w:rsid w:val="00381AC0"/>
    <w:rsid w:val="00390101"/>
    <w:rsid w:val="003938F3"/>
    <w:rsid w:val="00397717"/>
    <w:rsid w:val="003B03AA"/>
    <w:rsid w:val="003C276A"/>
    <w:rsid w:val="003C7B3B"/>
    <w:rsid w:val="003D7FA4"/>
    <w:rsid w:val="003E5CE1"/>
    <w:rsid w:val="004033C1"/>
    <w:rsid w:val="00420FA0"/>
    <w:rsid w:val="0043249F"/>
    <w:rsid w:val="00437F33"/>
    <w:rsid w:val="0044409C"/>
    <w:rsid w:val="0045049B"/>
    <w:rsid w:val="004656EC"/>
    <w:rsid w:val="00483424"/>
    <w:rsid w:val="00487C7F"/>
    <w:rsid w:val="004B3A32"/>
    <w:rsid w:val="004B3C1B"/>
    <w:rsid w:val="004B785C"/>
    <w:rsid w:val="004D1C3D"/>
    <w:rsid w:val="004E1380"/>
    <w:rsid w:val="004F47FD"/>
    <w:rsid w:val="00537BF7"/>
    <w:rsid w:val="0055311B"/>
    <w:rsid w:val="00554257"/>
    <w:rsid w:val="00555820"/>
    <w:rsid w:val="00556AD9"/>
    <w:rsid w:val="00560776"/>
    <w:rsid w:val="00562838"/>
    <w:rsid w:val="00562A36"/>
    <w:rsid w:val="00567F71"/>
    <w:rsid w:val="00582C73"/>
    <w:rsid w:val="005843B7"/>
    <w:rsid w:val="00586D61"/>
    <w:rsid w:val="00596743"/>
    <w:rsid w:val="00597D48"/>
    <w:rsid w:val="005A1591"/>
    <w:rsid w:val="005B4637"/>
    <w:rsid w:val="005C2193"/>
    <w:rsid w:val="005C335B"/>
    <w:rsid w:val="00601930"/>
    <w:rsid w:val="006048B8"/>
    <w:rsid w:val="00615315"/>
    <w:rsid w:val="00616D6C"/>
    <w:rsid w:val="00624132"/>
    <w:rsid w:val="00630993"/>
    <w:rsid w:val="00642B35"/>
    <w:rsid w:val="0064706C"/>
    <w:rsid w:val="0065513D"/>
    <w:rsid w:val="00660870"/>
    <w:rsid w:val="00661836"/>
    <w:rsid w:val="00670DA7"/>
    <w:rsid w:val="006A5D5D"/>
    <w:rsid w:val="006A5EFF"/>
    <w:rsid w:val="006A72F7"/>
    <w:rsid w:val="006B123F"/>
    <w:rsid w:val="006C2234"/>
    <w:rsid w:val="006E0049"/>
    <w:rsid w:val="0073415E"/>
    <w:rsid w:val="007624C7"/>
    <w:rsid w:val="00764114"/>
    <w:rsid w:val="007666B1"/>
    <w:rsid w:val="00770FB7"/>
    <w:rsid w:val="00775B4D"/>
    <w:rsid w:val="00780B8C"/>
    <w:rsid w:val="007A2DC9"/>
    <w:rsid w:val="007D3509"/>
    <w:rsid w:val="007E2BFF"/>
    <w:rsid w:val="007E6680"/>
    <w:rsid w:val="007E7BC6"/>
    <w:rsid w:val="00800B29"/>
    <w:rsid w:val="00806A0C"/>
    <w:rsid w:val="0082786E"/>
    <w:rsid w:val="00831076"/>
    <w:rsid w:val="008351E6"/>
    <w:rsid w:val="008425BF"/>
    <w:rsid w:val="008460F7"/>
    <w:rsid w:val="00846839"/>
    <w:rsid w:val="00880550"/>
    <w:rsid w:val="00883A7C"/>
    <w:rsid w:val="00893590"/>
    <w:rsid w:val="0089552E"/>
    <w:rsid w:val="008A16D3"/>
    <w:rsid w:val="008C3D40"/>
    <w:rsid w:val="008D128D"/>
    <w:rsid w:val="008D3A48"/>
    <w:rsid w:val="008F1949"/>
    <w:rsid w:val="008F532E"/>
    <w:rsid w:val="00904FD0"/>
    <w:rsid w:val="00905882"/>
    <w:rsid w:val="00910052"/>
    <w:rsid w:val="00914BC9"/>
    <w:rsid w:val="00914C70"/>
    <w:rsid w:val="00917B5F"/>
    <w:rsid w:val="00926A81"/>
    <w:rsid w:val="00946A37"/>
    <w:rsid w:val="009507B0"/>
    <w:rsid w:val="0095642C"/>
    <w:rsid w:val="00957336"/>
    <w:rsid w:val="0096667D"/>
    <w:rsid w:val="00986C33"/>
    <w:rsid w:val="009921F8"/>
    <w:rsid w:val="009A3FB9"/>
    <w:rsid w:val="009B1447"/>
    <w:rsid w:val="009B524B"/>
    <w:rsid w:val="009C416C"/>
    <w:rsid w:val="009C4BAA"/>
    <w:rsid w:val="009E51DD"/>
    <w:rsid w:val="009E59A1"/>
    <w:rsid w:val="009F341B"/>
    <w:rsid w:val="009F53D8"/>
    <w:rsid w:val="00A00E9A"/>
    <w:rsid w:val="00A039B3"/>
    <w:rsid w:val="00A05719"/>
    <w:rsid w:val="00A13AE8"/>
    <w:rsid w:val="00A177CB"/>
    <w:rsid w:val="00A24E6B"/>
    <w:rsid w:val="00A27431"/>
    <w:rsid w:val="00A46177"/>
    <w:rsid w:val="00A47DCD"/>
    <w:rsid w:val="00A74428"/>
    <w:rsid w:val="00A83A84"/>
    <w:rsid w:val="00A846AC"/>
    <w:rsid w:val="00A945F4"/>
    <w:rsid w:val="00AB2540"/>
    <w:rsid w:val="00AC37C3"/>
    <w:rsid w:val="00AD2415"/>
    <w:rsid w:val="00AD2BB1"/>
    <w:rsid w:val="00AD2DE2"/>
    <w:rsid w:val="00AD78A1"/>
    <w:rsid w:val="00AE1BE7"/>
    <w:rsid w:val="00AE5E78"/>
    <w:rsid w:val="00AE6447"/>
    <w:rsid w:val="00AF1843"/>
    <w:rsid w:val="00AF6A67"/>
    <w:rsid w:val="00AF782C"/>
    <w:rsid w:val="00B04BFA"/>
    <w:rsid w:val="00B1187F"/>
    <w:rsid w:val="00B11DCF"/>
    <w:rsid w:val="00B144CD"/>
    <w:rsid w:val="00B15F8F"/>
    <w:rsid w:val="00B37060"/>
    <w:rsid w:val="00B4027C"/>
    <w:rsid w:val="00B77B8E"/>
    <w:rsid w:val="00B94709"/>
    <w:rsid w:val="00B97C73"/>
    <w:rsid w:val="00BD1CF1"/>
    <w:rsid w:val="00BD468C"/>
    <w:rsid w:val="00BD4A6C"/>
    <w:rsid w:val="00BE07A0"/>
    <w:rsid w:val="00BE7DCA"/>
    <w:rsid w:val="00C13BAA"/>
    <w:rsid w:val="00C275F4"/>
    <w:rsid w:val="00C329DC"/>
    <w:rsid w:val="00C63D40"/>
    <w:rsid w:val="00C714E6"/>
    <w:rsid w:val="00C84BB9"/>
    <w:rsid w:val="00C86435"/>
    <w:rsid w:val="00CB4BC6"/>
    <w:rsid w:val="00CD184B"/>
    <w:rsid w:val="00CE6CD2"/>
    <w:rsid w:val="00CE79B7"/>
    <w:rsid w:val="00CF1AEC"/>
    <w:rsid w:val="00CF272E"/>
    <w:rsid w:val="00CF7ED5"/>
    <w:rsid w:val="00D05E60"/>
    <w:rsid w:val="00D1602B"/>
    <w:rsid w:val="00D6057F"/>
    <w:rsid w:val="00D60E47"/>
    <w:rsid w:val="00D65047"/>
    <w:rsid w:val="00D71F1D"/>
    <w:rsid w:val="00D92756"/>
    <w:rsid w:val="00D93403"/>
    <w:rsid w:val="00D96787"/>
    <w:rsid w:val="00DB149F"/>
    <w:rsid w:val="00DB4B92"/>
    <w:rsid w:val="00DB5D2A"/>
    <w:rsid w:val="00DD6917"/>
    <w:rsid w:val="00DE054F"/>
    <w:rsid w:val="00DF3581"/>
    <w:rsid w:val="00E10B2C"/>
    <w:rsid w:val="00E10FED"/>
    <w:rsid w:val="00E11C7C"/>
    <w:rsid w:val="00E17A6F"/>
    <w:rsid w:val="00E27371"/>
    <w:rsid w:val="00E40021"/>
    <w:rsid w:val="00E56CB7"/>
    <w:rsid w:val="00E6154E"/>
    <w:rsid w:val="00E8621C"/>
    <w:rsid w:val="00E8781E"/>
    <w:rsid w:val="00EA791F"/>
    <w:rsid w:val="00EB4986"/>
    <w:rsid w:val="00EC199C"/>
    <w:rsid w:val="00ED0A3D"/>
    <w:rsid w:val="00EE48D1"/>
    <w:rsid w:val="00EF5876"/>
    <w:rsid w:val="00EF5DCF"/>
    <w:rsid w:val="00F07B6E"/>
    <w:rsid w:val="00F10555"/>
    <w:rsid w:val="00F141F8"/>
    <w:rsid w:val="00F21056"/>
    <w:rsid w:val="00F23940"/>
    <w:rsid w:val="00F26218"/>
    <w:rsid w:val="00F40DC0"/>
    <w:rsid w:val="00F518AF"/>
    <w:rsid w:val="00F542DF"/>
    <w:rsid w:val="00F60EEA"/>
    <w:rsid w:val="00F63B15"/>
    <w:rsid w:val="00F659D8"/>
    <w:rsid w:val="00F67FF3"/>
    <w:rsid w:val="00F72B6E"/>
    <w:rsid w:val="00F83405"/>
    <w:rsid w:val="00F8457D"/>
    <w:rsid w:val="00F86E3F"/>
    <w:rsid w:val="00F8728B"/>
    <w:rsid w:val="00F90AC3"/>
    <w:rsid w:val="00FA362C"/>
    <w:rsid w:val="00FA4AA6"/>
    <w:rsid w:val="00FB551E"/>
    <w:rsid w:val="00FD0616"/>
    <w:rsid w:val="00FD2DB3"/>
    <w:rsid w:val="00FD4CDB"/>
    <w:rsid w:val="00FD525B"/>
    <w:rsid w:val="00FE5C68"/>
    <w:rsid w:val="00FF1CA4"/>
    <w:rsid w:val="00FF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3CEF3F"/>
  <w15:chartTrackingRefBased/>
  <w15:docId w15:val="{789D93D8-75ED-42C4-94E4-436E4CD5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E59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AA"/>
    <w:pPr>
      <w:ind w:left="720"/>
      <w:contextualSpacing/>
    </w:pPr>
  </w:style>
  <w:style w:type="paragraph" w:styleId="BalloonText">
    <w:name w:val="Balloon Text"/>
    <w:basedOn w:val="Normal"/>
    <w:link w:val="BalloonTextChar"/>
    <w:uiPriority w:val="99"/>
    <w:semiHidden/>
    <w:unhideWhenUsed/>
    <w:rsid w:val="007A2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C9"/>
    <w:rPr>
      <w:rFonts w:ascii="Segoe UI" w:hAnsi="Segoe UI" w:cs="Segoe UI"/>
      <w:sz w:val="18"/>
      <w:szCs w:val="18"/>
    </w:rPr>
  </w:style>
  <w:style w:type="character" w:styleId="CommentReference">
    <w:name w:val="annotation reference"/>
    <w:basedOn w:val="DefaultParagraphFont"/>
    <w:uiPriority w:val="99"/>
    <w:semiHidden/>
    <w:unhideWhenUsed/>
    <w:rsid w:val="007A2DC9"/>
    <w:rPr>
      <w:sz w:val="16"/>
      <w:szCs w:val="16"/>
    </w:rPr>
  </w:style>
  <w:style w:type="paragraph" w:styleId="CommentText">
    <w:name w:val="annotation text"/>
    <w:basedOn w:val="Normal"/>
    <w:link w:val="CommentTextChar"/>
    <w:uiPriority w:val="99"/>
    <w:unhideWhenUsed/>
    <w:rsid w:val="007A2DC9"/>
    <w:pPr>
      <w:spacing w:line="240" w:lineRule="auto"/>
    </w:pPr>
    <w:rPr>
      <w:sz w:val="20"/>
      <w:szCs w:val="20"/>
    </w:rPr>
  </w:style>
  <w:style w:type="character" w:customStyle="1" w:styleId="CommentTextChar">
    <w:name w:val="Comment Text Char"/>
    <w:basedOn w:val="DefaultParagraphFont"/>
    <w:link w:val="CommentText"/>
    <w:uiPriority w:val="99"/>
    <w:rsid w:val="007A2DC9"/>
    <w:rPr>
      <w:sz w:val="20"/>
      <w:szCs w:val="20"/>
    </w:rPr>
  </w:style>
  <w:style w:type="paragraph" w:styleId="CommentSubject">
    <w:name w:val="annotation subject"/>
    <w:basedOn w:val="CommentText"/>
    <w:next w:val="CommentText"/>
    <w:link w:val="CommentSubjectChar"/>
    <w:uiPriority w:val="99"/>
    <w:semiHidden/>
    <w:unhideWhenUsed/>
    <w:rsid w:val="007A2DC9"/>
    <w:rPr>
      <w:b/>
      <w:bCs/>
    </w:rPr>
  </w:style>
  <w:style w:type="character" w:customStyle="1" w:styleId="CommentSubjectChar">
    <w:name w:val="Comment Subject Char"/>
    <w:basedOn w:val="CommentTextChar"/>
    <w:link w:val="CommentSubject"/>
    <w:uiPriority w:val="99"/>
    <w:semiHidden/>
    <w:rsid w:val="007A2DC9"/>
    <w:rPr>
      <w:b/>
      <w:bCs/>
      <w:sz w:val="20"/>
      <w:szCs w:val="20"/>
    </w:rPr>
  </w:style>
  <w:style w:type="character" w:styleId="Hyperlink">
    <w:name w:val="Hyperlink"/>
    <w:basedOn w:val="DefaultParagraphFont"/>
    <w:uiPriority w:val="99"/>
    <w:unhideWhenUsed/>
    <w:rsid w:val="00A177CB"/>
    <w:rPr>
      <w:color w:val="0563C1" w:themeColor="hyperlink"/>
      <w:u w:val="single"/>
    </w:rPr>
  </w:style>
  <w:style w:type="character" w:customStyle="1" w:styleId="UnresolvedMention1">
    <w:name w:val="Unresolved Mention1"/>
    <w:basedOn w:val="DefaultParagraphFont"/>
    <w:uiPriority w:val="99"/>
    <w:semiHidden/>
    <w:unhideWhenUsed/>
    <w:rsid w:val="00A177CB"/>
    <w:rPr>
      <w:color w:val="605E5C"/>
      <w:shd w:val="clear" w:color="auto" w:fill="E1DFDD"/>
    </w:rPr>
  </w:style>
  <w:style w:type="paragraph" w:styleId="EndnoteText">
    <w:name w:val="endnote text"/>
    <w:basedOn w:val="Normal"/>
    <w:link w:val="EndnoteTextChar"/>
    <w:uiPriority w:val="99"/>
    <w:unhideWhenUsed/>
    <w:rsid w:val="00BD1CF1"/>
    <w:pPr>
      <w:spacing w:after="0" w:line="240" w:lineRule="auto"/>
    </w:pPr>
    <w:rPr>
      <w:sz w:val="20"/>
      <w:szCs w:val="20"/>
    </w:rPr>
  </w:style>
  <w:style w:type="character" w:customStyle="1" w:styleId="EndnoteTextChar">
    <w:name w:val="Endnote Text Char"/>
    <w:basedOn w:val="DefaultParagraphFont"/>
    <w:link w:val="EndnoteText"/>
    <w:uiPriority w:val="99"/>
    <w:rsid w:val="00BD1CF1"/>
    <w:rPr>
      <w:sz w:val="20"/>
      <w:szCs w:val="20"/>
    </w:rPr>
  </w:style>
  <w:style w:type="character" w:styleId="EndnoteReference">
    <w:name w:val="endnote reference"/>
    <w:basedOn w:val="DefaultParagraphFont"/>
    <w:uiPriority w:val="99"/>
    <w:semiHidden/>
    <w:unhideWhenUsed/>
    <w:rsid w:val="00BD1CF1"/>
    <w:rPr>
      <w:vertAlign w:val="superscript"/>
    </w:rPr>
  </w:style>
  <w:style w:type="character" w:styleId="FollowedHyperlink">
    <w:name w:val="FollowedHyperlink"/>
    <w:basedOn w:val="DefaultParagraphFont"/>
    <w:uiPriority w:val="99"/>
    <w:semiHidden/>
    <w:unhideWhenUsed/>
    <w:rsid w:val="001B4555"/>
    <w:rPr>
      <w:color w:val="954F72" w:themeColor="followedHyperlink"/>
      <w:u w:val="single"/>
    </w:rPr>
  </w:style>
  <w:style w:type="paragraph" w:styleId="Revision">
    <w:name w:val="Revision"/>
    <w:hidden/>
    <w:uiPriority w:val="99"/>
    <w:semiHidden/>
    <w:rsid w:val="00F90AC3"/>
    <w:pPr>
      <w:spacing w:after="0" w:line="240" w:lineRule="auto"/>
    </w:pPr>
  </w:style>
  <w:style w:type="paragraph" w:styleId="Header">
    <w:name w:val="header"/>
    <w:basedOn w:val="Normal"/>
    <w:link w:val="HeaderChar"/>
    <w:uiPriority w:val="99"/>
    <w:unhideWhenUsed/>
    <w:rsid w:val="00764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14"/>
  </w:style>
  <w:style w:type="paragraph" w:styleId="Footer">
    <w:name w:val="footer"/>
    <w:basedOn w:val="Normal"/>
    <w:link w:val="FooterChar"/>
    <w:uiPriority w:val="99"/>
    <w:unhideWhenUsed/>
    <w:rsid w:val="00764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114"/>
  </w:style>
  <w:style w:type="paragraph" w:styleId="NormalWeb">
    <w:name w:val="Normal (Web)"/>
    <w:basedOn w:val="Normal"/>
    <w:uiPriority w:val="99"/>
    <w:semiHidden/>
    <w:unhideWhenUsed/>
    <w:rsid w:val="009E51D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83424"/>
    <w:pPr>
      <w:spacing w:after="0" w:line="240" w:lineRule="auto"/>
    </w:pPr>
    <w:rPr>
      <w:sz w:val="20"/>
      <w:szCs w:val="20"/>
    </w:rPr>
  </w:style>
  <w:style w:type="character" w:customStyle="1" w:styleId="FootnoteTextChar">
    <w:name w:val="Footnote Text Char"/>
    <w:basedOn w:val="DefaultParagraphFont"/>
    <w:link w:val="FootnoteText"/>
    <w:uiPriority w:val="99"/>
    <w:rsid w:val="00483424"/>
    <w:rPr>
      <w:sz w:val="20"/>
      <w:szCs w:val="20"/>
    </w:rPr>
  </w:style>
  <w:style w:type="character" w:styleId="FootnoteReference">
    <w:name w:val="footnote reference"/>
    <w:basedOn w:val="DefaultParagraphFont"/>
    <w:uiPriority w:val="99"/>
    <w:semiHidden/>
    <w:unhideWhenUsed/>
    <w:rsid w:val="00483424"/>
    <w:rPr>
      <w:vertAlign w:val="superscript"/>
    </w:rPr>
  </w:style>
  <w:style w:type="paragraph" w:styleId="BodyText">
    <w:name w:val="Body Text"/>
    <w:basedOn w:val="Normal"/>
    <w:link w:val="BodyTextChar"/>
    <w:uiPriority w:val="1"/>
    <w:qFormat/>
    <w:rsid w:val="00AD2415"/>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AD2415"/>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2340B2"/>
    <w:rPr>
      <w:color w:val="605E5C"/>
      <w:shd w:val="clear" w:color="auto" w:fill="E1DFDD"/>
    </w:rPr>
  </w:style>
  <w:style w:type="paragraph" w:customStyle="1" w:styleId="Inclusion">
    <w:name w:val="Inclusion"/>
    <w:basedOn w:val="BodyText"/>
    <w:qFormat/>
    <w:rsid w:val="009F341B"/>
    <w:pPr>
      <w:widowControl/>
      <w:numPr>
        <w:numId w:val="13"/>
      </w:numPr>
      <w:autoSpaceDE/>
      <w:autoSpaceDN/>
      <w:spacing w:before="260"/>
    </w:pPr>
    <w:rPr>
      <w:rFonts w:ascii="Times New Roman" w:eastAsiaTheme="minorHAnsi" w:hAnsi="Times New Roman" w:cs="Arial"/>
      <w:sz w:val="24"/>
      <w:lang w:bidi="ar-SA"/>
    </w:rPr>
  </w:style>
  <w:style w:type="paragraph" w:customStyle="1" w:styleId="InclusionGroupHead">
    <w:name w:val="Inclusion Group Head"/>
    <w:basedOn w:val="Inclusion"/>
    <w:rsid w:val="009F341B"/>
    <w:pPr>
      <w:numPr>
        <w:numId w:val="0"/>
      </w:numPr>
      <w:ind w:left="720"/>
    </w:pPr>
    <w:rPr>
      <w:b/>
    </w:rPr>
  </w:style>
  <w:style w:type="paragraph" w:customStyle="1" w:styleId="InclusionGroupSubhead">
    <w:name w:val="Inclusion Group Subhead"/>
    <w:basedOn w:val="Inclusion"/>
    <w:rsid w:val="009F341B"/>
    <w:pPr>
      <w:numPr>
        <w:numId w:val="0"/>
      </w:numPr>
      <w:ind w:left="720"/>
    </w:pPr>
    <w:rPr>
      <w:b/>
      <w:i/>
      <w:u w:val="single"/>
    </w:rPr>
  </w:style>
  <w:style w:type="paragraph" w:customStyle="1" w:styleId="Default">
    <w:name w:val="Default"/>
    <w:rsid w:val="00214B1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77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E59A1"/>
    <w:rPr>
      <w:rFonts w:asciiTheme="majorHAnsi" w:eastAsiaTheme="majorEastAsia" w:hAnsiTheme="majorHAnsi" w:cstheme="majorBidi"/>
      <w:color w:val="1F3763" w:themeColor="accent1" w:themeShade="7F"/>
      <w:sz w:val="24"/>
      <w:szCs w:val="24"/>
    </w:rPr>
  </w:style>
  <w:style w:type="paragraph" w:customStyle="1" w:styleId="lh-16">
    <w:name w:val="lh-16"/>
    <w:basedOn w:val="Normal"/>
    <w:rsid w:val="00BE0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4726">
      <w:bodyDiv w:val="1"/>
      <w:marLeft w:val="0"/>
      <w:marRight w:val="0"/>
      <w:marTop w:val="0"/>
      <w:marBottom w:val="0"/>
      <w:divBdr>
        <w:top w:val="none" w:sz="0" w:space="0" w:color="auto"/>
        <w:left w:val="none" w:sz="0" w:space="0" w:color="auto"/>
        <w:bottom w:val="none" w:sz="0" w:space="0" w:color="auto"/>
        <w:right w:val="none" w:sz="0" w:space="0" w:color="auto"/>
      </w:divBdr>
    </w:div>
    <w:div w:id="167643489">
      <w:bodyDiv w:val="1"/>
      <w:marLeft w:val="0"/>
      <w:marRight w:val="0"/>
      <w:marTop w:val="0"/>
      <w:marBottom w:val="0"/>
      <w:divBdr>
        <w:top w:val="none" w:sz="0" w:space="0" w:color="auto"/>
        <w:left w:val="none" w:sz="0" w:space="0" w:color="auto"/>
        <w:bottom w:val="none" w:sz="0" w:space="0" w:color="auto"/>
        <w:right w:val="none" w:sz="0" w:space="0" w:color="auto"/>
      </w:divBdr>
    </w:div>
    <w:div w:id="708183888">
      <w:bodyDiv w:val="1"/>
      <w:marLeft w:val="0"/>
      <w:marRight w:val="0"/>
      <w:marTop w:val="0"/>
      <w:marBottom w:val="0"/>
      <w:divBdr>
        <w:top w:val="none" w:sz="0" w:space="0" w:color="auto"/>
        <w:left w:val="none" w:sz="0" w:space="0" w:color="auto"/>
        <w:bottom w:val="none" w:sz="0" w:space="0" w:color="auto"/>
        <w:right w:val="none" w:sz="0" w:space="0" w:color="auto"/>
      </w:divBdr>
    </w:div>
    <w:div w:id="747770917">
      <w:bodyDiv w:val="1"/>
      <w:marLeft w:val="0"/>
      <w:marRight w:val="0"/>
      <w:marTop w:val="0"/>
      <w:marBottom w:val="0"/>
      <w:divBdr>
        <w:top w:val="none" w:sz="0" w:space="0" w:color="auto"/>
        <w:left w:val="none" w:sz="0" w:space="0" w:color="auto"/>
        <w:bottom w:val="none" w:sz="0" w:space="0" w:color="auto"/>
        <w:right w:val="none" w:sz="0" w:space="0" w:color="auto"/>
      </w:divBdr>
    </w:div>
    <w:div w:id="754399275">
      <w:bodyDiv w:val="1"/>
      <w:marLeft w:val="0"/>
      <w:marRight w:val="0"/>
      <w:marTop w:val="0"/>
      <w:marBottom w:val="0"/>
      <w:divBdr>
        <w:top w:val="none" w:sz="0" w:space="0" w:color="auto"/>
        <w:left w:val="none" w:sz="0" w:space="0" w:color="auto"/>
        <w:bottom w:val="none" w:sz="0" w:space="0" w:color="auto"/>
        <w:right w:val="none" w:sz="0" w:space="0" w:color="auto"/>
      </w:divBdr>
    </w:div>
    <w:div w:id="809135323">
      <w:bodyDiv w:val="1"/>
      <w:marLeft w:val="0"/>
      <w:marRight w:val="0"/>
      <w:marTop w:val="0"/>
      <w:marBottom w:val="0"/>
      <w:divBdr>
        <w:top w:val="none" w:sz="0" w:space="0" w:color="auto"/>
        <w:left w:val="none" w:sz="0" w:space="0" w:color="auto"/>
        <w:bottom w:val="none" w:sz="0" w:space="0" w:color="auto"/>
        <w:right w:val="none" w:sz="0" w:space="0" w:color="auto"/>
      </w:divBdr>
    </w:div>
    <w:div w:id="1052464992">
      <w:bodyDiv w:val="1"/>
      <w:marLeft w:val="0"/>
      <w:marRight w:val="0"/>
      <w:marTop w:val="0"/>
      <w:marBottom w:val="0"/>
      <w:divBdr>
        <w:top w:val="none" w:sz="0" w:space="0" w:color="auto"/>
        <w:left w:val="none" w:sz="0" w:space="0" w:color="auto"/>
        <w:bottom w:val="none" w:sz="0" w:space="0" w:color="auto"/>
        <w:right w:val="none" w:sz="0" w:space="0" w:color="auto"/>
      </w:divBdr>
    </w:div>
    <w:div w:id="1067872639">
      <w:bodyDiv w:val="1"/>
      <w:marLeft w:val="0"/>
      <w:marRight w:val="0"/>
      <w:marTop w:val="0"/>
      <w:marBottom w:val="0"/>
      <w:divBdr>
        <w:top w:val="none" w:sz="0" w:space="0" w:color="auto"/>
        <w:left w:val="none" w:sz="0" w:space="0" w:color="auto"/>
        <w:bottom w:val="none" w:sz="0" w:space="0" w:color="auto"/>
        <w:right w:val="none" w:sz="0" w:space="0" w:color="auto"/>
      </w:divBdr>
    </w:div>
    <w:div w:id="1562862635">
      <w:bodyDiv w:val="1"/>
      <w:marLeft w:val="0"/>
      <w:marRight w:val="0"/>
      <w:marTop w:val="0"/>
      <w:marBottom w:val="0"/>
      <w:divBdr>
        <w:top w:val="none" w:sz="0" w:space="0" w:color="auto"/>
        <w:left w:val="none" w:sz="0" w:space="0" w:color="auto"/>
        <w:bottom w:val="none" w:sz="0" w:space="0" w:color="auto"/>
        <w:right w:val="none" w:sz="0" w:space="0" w:color="auto"/>
      </w:divBdr>
    </w:div>
    <w:div w:id="1840150185">
      <w:bodyDiv w:val="1"/>
      <w:marLeft w:val="0"/>
      <w:marRight w:val="0"/>
      <w:marTop w:val="0"/>
      <w:marBottom w:val="0"/>
      <w:divBdr>
        <w:top w:val="none" w:sz="0" w:space="0" w:color="auto"/>
        <w:left w:val="none" w:sz="0" w:space="0" w:color="auto"/>
        <w:bottom w:val="none" w:sz="0" w:space="0" w:color="auto"/>
        <w:right w:val="none" w:sz="0" w:space="0" w:color="auto"/>
      </w:divBdr>
      <w:divsChild>
        <w:div w:id="82840528">
          <w:marLeft w:val="150"/>
          <w:marRight w:val="300"/>
          <w:marTop w:val="450"/>
          <w:marBottom w:val="0"/>
          <w:divBdr>
            <w:top w:val="none" w:sz="0" w:space="0" w:color="auto"/>
            <w:left w:val="none" w:sz="0" w:space="0" w:color="auto"/>
            <w:bottom w:val="none" w:sz="0" w:space="0" w:color="auto"/>
            <w:right w:val="none" w:sz="0" w:space="0" w:color="auto"/>
          </w:divBdr>
          <w:divsChild>
            <w:div w:id="933519036">
              <w:marLeft w:val="0"/>
              <w:marRight w:val="0"/>
              <w:marTop w:val="0"/>
              <w:marBottom w:val="0"/>
              <w:divBdr>
                <w:top w:val="none" w:sz="0" w:space="0" w:color="auto"/>
                <w:left w:val="none" w:sz="0" w:space="0" w:color="auto"/>
                <w:bottom w:val="none" w:sz="0" w:space="0" w:color="auto"/>
                <w:right w:val="none" w:sz="0" w:space="0" w:color="auto"/>
              </w:divBdr>
            </w:div>
          </w:divsChild>
        </w:div>
        <w:div w:id="653922218">
          <w:marLeft w:val="150"/>
          <w:marRight w:val="300"/>
          <w:marTop w:val="450"/>
          <w:marBottom w:val="0"/>
          <w:divBdr>
            <w:top w:val="none" w:sz="0" w:space="0" w:color="auto"/>
            <w:left w:val="none" w:sz="0" w:space="0" w:color="auto"/>
            <w:bottom w:val="none" w:sz="0" w:space="0" w:color="auto"/>
            <w:right w:val="none" w:sz="0" w:space="0" w:color="auto"/>
          </w:divBdr>
        </w:div>
      </w:divsChild>
    </w:div>
    <w:div w:id="1896970518">
      <w:bodyDiv w:val="1"/>
      <w:marLeft w:val="0"/>
      <w:marRight w:val="0"/>
      <w:marTop w:val="0"/>
      <w:marBottom w:val="0"/>
      <w:divBdr>
        <w:top w:val="none" w:sz="0" w:space="0" w:color="auto"/>
        <w:left w:val="none" w:sz="0" w:space="0" w:color="auto"/>
        <w:bottom w:val="none" w:sz="0" w:space="0" w:color="auto"/>
        <w:right w:val="none" w:sz="0" w:space="0" w:color="auto"/>
      </w:divBdr>
    </w:div>
    <w:div w:id="1899321074">
      <w:bodyDiv w:val="1"/>
      <w:marLeft w:val="0"/>
      <w:marRight w:val="0"/>
      <w:marTop w:val="0"/>
      <w:marBottom w:val="0"/>
      <w:divBdr>
        <w:top w:val="none" w:sz="0" w:space="0" w:color="auto"/>
        <w:left w:val="none" w:sz="0" w:space="0" w:color="auto"/>
        <w:bottom w:val="none" w:sz="0" w:space="0" w:color="auto"/>
        <w:right w:val="none" w:sz="0" w:space="0" w:color="auto"/>
      </w:divBdr>
    </w:div>
    <w:div w:id="1905529042">
      <w:bodyDiv w:val="1"/>
      <w:marLeft w:val="0"/>
      <w:marRight w:val="0"/>
      <w:marTop w:val="0"/>
      <w:marBottom w:val="0"/>
      <w:divBdr>
        <w:top w:val="none" w:sz="0" w:space="0" w:color="auto"/>
        <w:left w:val="none" w:sz="0" w:space="0" w:color="auto"/>
        <w:bottom w:val="none" w:sz="0" w:space="0" w:color="auto"/>
        <w:right w:val="none" w:sz="0" w:space="0" w:color="auto"/>
      </w:divBdr>
    </w:div>
    <w:div w:id="1929849138">
      <w:bodyDiv w:val="1"/>
      <w:marLeft w:val="0"/>
      <w:marRight w:val="0"/>
      <w:marTop w:val="0"/>
      <w:marBottom w:val="0"/>
      <w:divBdr>
        <w:top w:val="none" w:sz="0" w:space="0" w:color="auto"/>
        <w:left w:val="none" w:sz="0" w:space="0" w:color="auto"/>
        <w:bottom w:val="none" w:sz="0" w:space="0" w:color="auto"/>
        <w:right w:val="none" w:sz="0" w:space="0" w:color="auto"/>
      </w:divBdr>
    </w:div>
    <w:div w:id="2071881399">
      <w:bodyDiv w:val="1"/>
      <w:marLeft w:val="0"/>
      <w:marRight w:val="0"/>
      <w:marTop w:val="0"/>
      <w:marBottom w:val="0"/>
      <w:divBdr>
        <w:top w:val="none" w:sz="0" w:space="0" w:color="auto"/>
        <w:left w:val="none" w:sz="0" w:space="0" w:color="auto"/>
        <w:bottom w:val="none" w:sz="0" w:space="0" w:color="auto"/>
        <w:right w:val="none" w:sz="0" w:space="0" w:color="auto"/>
      </w:divBdr>
      <w:divsChild>
        <w:div w:id="20161804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c.info/resources/Legacy%20Project%20Intiatives%20Library/Two%20Step%20Metho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idslearningportal.niaid.nih.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idslearningportal.niaid.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rldefense.proofpoint.com/v2/url?u=https-3A__doi.org_10.1016_S2352-2D3018-2819-2930269-2D3&amp;d=DwMGaQ&amp;c=eRAMFD45gAfqt84VtBcfhQ&amp;r=PrFUhbexGikBUbYUOyyhQA&amp;m=jRmb-UyCEtWI6JlwbGf5a_y4O3rai2mS6B4Aub2vh_U&amp;s=qWE0QYS3hIDZxA--X3yDHU7oFRAAOJYbpz8H9vqQT7Y&amp;e=" TargetMode="External"/><Relationship Id="rId3" Type="http://schemas.openxmlformats.org/officeDocument/2006/relationships/hyperlink" Target="https://www.nimhd.nih.gov/about/directors-corner/messages/message_10-06-16.html" TargetMode="External"/><Relationship Id="rId7" Type="http://schemas.openxmlformats.org/officeDocument/2006/relationships/hyperlink" Target="https://fenwayhealth.org/new-paper-offers-recommendations-for-collecting-so-gi-patient-data/" TargetMode="External"/><Relationship Id="rId2" Type="http://schemas.openxmlformats.org/officeDocument/2006/relationships/hyperlink" Target="https://www.niaid.nih.gov/grants-contracts/sex-gender-minorities-health-disparity-population" TargetMode="External"/><Relationship Id="rId1" Type="http://schemas.openxmlformats.org/officeDocument/2006/relationships/hyperlink" Target="https://grants.nih.gov/policy/inclusion/women-and-minorities/guidelines.htm" TargetMode="External"/><Relationship Id="rId6" Type="http://schemas.openxmlformats.org/officeDocument/2006/relationships/hyperlink" Target="https://wpath.org/media/cms/Documents/SOC%20v7/Standards%20of%20Care_V7%20Full%20Book_English.pdf" TargetMode="External"/><Relationship Id="rId5" Type="http://schemas.openxmlformats.org/officeDocument/2006/relationships/hyperlink" Target="https://www.ncbi.nlm.nih.gov/pubmed/22013611" TargetMode="External"/><Relationship Id="rId10" Type="http://schemas.openxmlformats.org/officeDocument/2006/relationships/hyperlink" Target="http://www.aidsmap.com/news/sep-2017/experts-concur-event-related-oral-prep-probably-wont-work-women" TargetMode="External"/><Relationship Id="rId4" Type="http://schemas.openxmlformats.org/officeDocument/2006/relationships/hyperlink" Target="https://prevention.ucsf.edu/transhealth/education/data-recs-long" TargetMode="External"/><Relationship Id="rId9" Type="http://schemas.openxmlformats.org/officeDocument/2006/relationships/hyperlink" Target="https://www.nejm.org/doi/full/10.1056/nejmoa1506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642B5B6C4BC4994761FED932C8CE5" ma:contentTypeVersion="10" ma:contentTypeDescription="Create a new document." ma:contentTypeScope="" ma:versionID="9895e1bddbc7c77f958ee9f968326acb">
  <xsd:schema xmlns:xsd="http://www.w3.org/2001/XMLSchema" xmlns:xs="http://www.w3.org/2001/XMLSchema" xmlns:p="http://schemas.microsoft.com/office/2006/metadata/properties" xmlns:ns3="7d36ea19-629c-420d-b659-81f82527858f" targetNamespace="http://schemas.microsoft.com/office/2006/metadata/properties" ma:root="true" ma:fieldsID="acb9d13608d5879780f57de4d16aeb73" ns3:_="">
    <xsd:import namespace="7d36ea19-629c-420d-b659-81f8252785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ea19-629c-420d-b659-81f8252785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03F3-3058-45F4-A0AD-67147A369531}">
  <ds:schemaRefs>
    <ds:schemaRef ds:uri="http://schemas.microsoft.com/sharepoint/v3/contenttype/forms"/>
  </ds:schemaRefs>
</ds:datastoreItem>
</file>

<file path=customXml/itemProps2.xml><?xml version="1.0" encoding="utf-8"?>
<ds:datastoreItem xmlns:ds="http://schemas.openxmlformats.org/officeDocument/2006/customXml" ds:itemID="{62F0E40D-13C8-49E2-85AC-40A07061969D}">
  <ds:schemaRefs>
    <ds:schemaRef ds:uri="http://purl.org/dc/terms/"/>
    <ds:schemaRef ds:uri="http://schemas.openxmlformats.org/package/2006/metadata/core-properties"/>
    <ds:schemaRef ds:uri="http://purl.org/dc/dcmitype/"/>
    <ds:schemaRef ds:uri="7d36ea19-629c-420d-b659-81f82527858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26D0291-6A30-4C18-A39F-852EF7F15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ea19-629c-420d-b659-81f825278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6C1AB-5BBA-457D-BBCD-EEE3F808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Siskind, Rona (NIH/NIAID) [E]</dc:creator>
  <cp:keywords/>
  <dc:description/>
  <cp:lastModifiedBy>Siskind, Rona (NIH/NIAID) [E]</cp:lastModifiedBy>
  <cp:revision>3</cp:revision>
  <cp:lastPrinted>2019-10-24T20:17:00Z</cp:lastPrinted>
  <dcterms:created xsi:type="dcterms:W3CDTF">2020-04-07T15:46:00Z</dcterms:created>
  <dcterms:modified xsi:type="dcterms:W3CDTF">2020-04-13T18:40:00Z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0x010100867642B5B6C4BC4994761FED932C8CE5</vt:lpwstr>
  </property>
</Properties>
</file>