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7B2E5" w14:textId="77777777" w:rsidR="00607118" w:rsidRDefault="00607118" w:rsidP="00607118">
      <w:pPr>
        <w:widowControl w:val="0"/>
        <w:autoSpaceDE w:val="0"/>
        <w:autoSpaceDN w:val="0"/>
        <w:spacing w:before="39" w:after="0" w:line="240" w:lineRule="auto"/>
        <w:ind w:left="100"/>
        <w:jc w:val="center"/>
        <w:rPr>
          <w:rFonts w:ascii="Calibri" w:eastAsia="Calibri" w:hAnsi="Calibri" w:cs="Calibri"/>
          <w:b/>
          <w:lang w:bidi="en-US"/>
        </w:rPr>
      </w:pPr>
      <w:r>
        <w:rPr>
          <w:rFonts w:ascii="Calibri" w:eastAsia="Calibri" w:hAnsi="Calibri" w:cs="Calibri"/>
          <w:b/>
          <w:lang w:bidi="en-US"/>
        </w:rPr>
        <w:t xml:space="preserve">Recommended Approach to </w:t>
      </w:r>
      <w:r w:rsidRPr="00607118">
        <w:rPr>
          <w:rFonts w:ascii="Calibri" w:eastAsia="Calibri" w:hAnsi="Calibri" w:cs="Calibri"/>
          <w:b/>
          <w:lang w:bidi="en-US"/>
        </w:rPr>
        <w:t>Data Collection</w:t>
      </w:r>
    </w:p>
    <w:p w14:paraId="33E6BC74" w14:textId="77777777" w:rsidR="00607118" w:rsidRDefault="00607118" w:rsidP="00607118">
      <w:pPr>
        <w:widowControl w:val="0"/>
        <w:autoSpaceDE w:val="0"/>
        <w:autoSpaceDN w:val="0"/>
        <w:spacing w:before="39" w:after="0" w:line="240" w:lineRule="auto"/>
        <w:ind w:left="100"/>
        <w:jc w:val="center"/>
        <w:rPr>
          <w:rFonts w:ascii="Calibri" w:eastAsia="Calibri" w:hAnsi="Calibri" w:cs="Calibri"/>
          <w:b/>
          <w:lang w:bidi="en-US"/>
        </w:rPr>
      </w:pPr>
      <w:r w:rsidRPr="00607118">
        <w:rPr>
          <w:rFonts w:ascii="Calibri" w:eastAsia="Calibri" w:hAnsi="Calibri" w:cs="Calibri"/>
          <w:b/>
          <w:lang w:bidi="en-US"/>
        </w:rPr>
        <w:t>The Two-Step Method</w:t>
      </w:r>
    </w:p>
    <w:p w14:paraId="35D88FFF" w14:textId="305F2AAF" w:rsidR="00607118" w:rsidRDefault="00541A2B" w:rsidP="00607118">
      <w:pPr>
        <w:widowControl w:val="0"/>
        <w:autoSpaceDE w:val="0"/>
        <w:autoSpaceDN w:val="0"/>
        <w:spacing w:before="39" w:after="0" w:line="240" w:lineRule="auto"/>
        <w:ind w:left="100"/>
        <w:jc w:val="center"/>
        <w:rPr>
          <w:rFonts w:ascii="Calibri" w:eastAsia="Calibri" w:hAnsi="Calibri" w:cs="Calibri"/>
          <w:b/>
          <w:lang w:bidi="en-US"/>
        </w:rPr>
      </w:pPr>
      <w:r>
        <w:rPr>
          <w:rFonts w:ascii="Calibri" w:eastAsia="Calibri" w:hAnsi="Calibri" w:cs="Calibri"/>
          <w:b/>
          <w:lang w:bidi="en-US"/>
        </w:rPr>
        <w:t xml:space="preserve">March </w:t>
      </w:r>
      <w:r w:rsidR="00607118">
        <w:rPr>
          <w:rFonts w:ascii="Calibri" w:eastAsia="Calibri" w:hAnsi="Calibri" w:cs="Calibri"/>
          <w:b/>
          <w:lang w:bidi="en-US"/>
        </w:rPr>
        <w:t>2020</w:t>
      </w:r>
    </w:p>
    <w:p w14:paraId="50190C04" w14:textId="07953212" w:rsidR="00607118" w:rsidRDefault="00607118" w:rsidP="00607118">
      <w:pPr>
        <w:widowControl w:val="0"/>
        <w:autoSpaceDE w:val="0"/>
        <w:autoSpaceDN w:val="0"/>
        <w:spacing w:before="39" w:after="0" w:line="240" w:lineRule="auto"/>
        <w:ind w:left="100"/>
        <w:jc w:val="center"/>
        <w:rPr>
          <w:rFonts w:ascii="Calibri" w:eastAsia="Calibri" w:hAnsi="Calibri" w:cs="Calibri"/>
          <w:bCs/>
          <w:i/>
          <w:iCs/>
          <w:lang w:bidi="en-US"/>
        </w:rPr>
      </w:pPr>
      <w:r w:rsidRPr="00607118">
        <w:rPr>
          <w:rFonts w:ascii="Calibri" w:eastAsia="Calibri" w:hAnsi="Calibri" w:cs="Calibri"/>
          <w:bCs/>
          <w:i/>
          <w:iCs/>
          <w:lang w:bidi="en-US"/>
        </w:rPr>
        <w:t>(</w:t>
      </w:r>
      <w:r w:rsidR="00F531AF">
        <w:rPr>
          <w:rFonts w:ascii="Calibri" w:eastAsia="Calibri" w:hAnsi="Calibri" w:cs="Calibri"/>
          <w:bCs/>
          <w:i/>
          <w:iCs/>
          <w:lang w:bidi="en-US"/>
        </w:rPr>
        <w:t>Based</w:t>
      </w:r>
      <w:r w:rsidR="00B70406">
        <w:rPr>
          <w:rFonts w:ascii="Calibri" w:eastAsia="Calibri" w:hAnsi="Calibri" w:cs="Calibri"/>
          <w:bCs/>
          <w:i/>
          <w:iCs/>
          <w:lang w:bidi="en-US"/>
        </w:rPr>
        <w:t xml:space="preserve"> on</w:t>
      </w:r>
      <w:r w:rsidRPr="00607118">
        <w:rPr>
          <w:rFonts w:ascii="Calibri" w:eastAsia="Calibri" w:hAnsi="Calibri" w:cs="Calibri"/>
          <w:bCs/>
          <w:i/>
          <w:iCs/>
          <w:lang w:bidi="en-US"/>
        </w:rPr>
        <w:t xml:space="preserve"> </w:t>
      </w:r>
      <w:r w:rsidR="009C232A">
        <w:rPr>
          <w:rFonts w:ascii="Calibri" w:eastAsia="Calibri" w:hAnsi="Calibri" w:cs="Calibri"/>
          <w:bCs/>
          <w:i/>
          <w:iCs/>
          <w:lang w:bidi="en-US"/>
        </w:rPr>
        <w:t xml:space="preserve">the </w:t>
      </w:r>
      <w:r w:rsidRPr="00607118">
        <w:rPr>
          <w:rFonts w:ascii="Calibri" w:eastAsia="Calibri" w:hAnsi="Calibri" w:cs="Calibri"/>
          <w:bCs/>
          <w:i/>
          <w:iCs/>
          <w:lang w:bidi="en-US"/>
        </w:rPr>
        <w:t xml:space="preserve">recommendation made to DAIDS and Network Leadership April 2015) </w:t>
      </w:r>
    </w:p>
    <w:p w14:paraId="6BEEE23F" w14:textId="6675484F" w:rsidR="00607118" w:rsidRDefault="00607118" w:rsidP="00607118">
      <w:pPr>
        <w:widowControl w:val="0"/>
        <w:autoSpaceDE w:val="0"/>
        <w:autoSpaceDN w:val="0"/>
        <w:spacing w:before="1" w:after="0" w:line="240" w:lineRule="auto"/>
        <w:jc w:val="center"/>
        <w:rPr>
          <w:rFonts w:ascii="Calibri" w:eastAsia="Calibri" w:hAnsi="Calibri" w:cs="Calibri"/>
          <w:b/>
          <w:lang w:bidi="en-US"/>
        </w:rPr>
      </w:pPr>
    </w:p>
    <w:p w14:paraId="3C63DA1D" w14:textId="77777777" w:rsidR="007273D4" w:rsidRPr="00607118" w:rsidRDefault="007273D4" w:rsidP="00607118">
      <w:pPr>
        <w:widowControl w:val="0"/>
        <w:autoSpaceDE w:val="0"/>
        <w:autoSpaceDN w:val="0"/>
        <w:spacing w:before="1" w:after="0" w:line="240" w:lineRule="auto"/>
        <w:jc w:val="center"/>
        <w:rPr>
          <w:rFonts w:ascii="Calibri" w:eastAsia="Calibri" w:hAnsi="Calibri" w:cs="Calibri"/>
          <w:b/>
          <w:lang w:bidi="en-US"/>
        </w:rPr>
      </w:pPr>
    </w:p>
    <w:p w14:paraId="466A8133" w14:textId="225A92DF" w:rsidR="00607118" w:rsidRDefault="00607118" w:rsidP="00607118">
      <w:pPr>
        <w:rPr>
          <w:rFonts w:ascii="Calibri" w:eastAsia="Calibri" w:hAnsi="Calibri" w:cs="Times New Roman"/>
        </w:rPr>
      </w:pPr>
      <w:r w:rsidRPr="00607118">
        <w:rPr>
          <w:rFonts w:ascii="Calibri" w:eastAsia="Calibri" w:hAnsi="Calibri" w:cs="Times New Roman"/>
        </w:rPr>
        <w:t xml:space="preserve">The </w:t>
      </w:r>
      <w:r>
        <w:rPr>
          <w:rFonts w:ascii="Calibri" w:eastAsia="Calibri" w:hAnsi="Calibri" w:cs="Times New Roman"/>
        </w:rPr>
        <w:t xml:space="preserve">Division of AIDS </w:t>
      </w:r>
      <w:r w:rsidRPr="00607118">
        <w:rPr>
          <w:rFonts w:ascii="Calibri" w:eastAsia="Calibri" w:hAnsi="Calibri" w:cs="Times New Roman"/>
        </w:rPr>
        <w:t>Cross-Network Transgender Working Group</w:t>
      </w:r>
      <w:r w:rsidR="00566097">
        <w:rPr>
          <w:rFonts w:ascii="Calibri" w:eastAsia="Calibri" w:hAnsi="Calibri" w:cs="Times New Roman"/>
        </w:rPr>
        <w:t xml:space="preserve"> (CNTWG)</w:t>
      </w:r>
      <w:r w:rsidRPr="00607118">
        <w:rPr>
          <w:rFonts w:ascii="Calibri" w:eastAsia="Calibri" w:hAnsi="Calibri" w:cs="Times New Roman"/>
        </w:rPr>
        <w:t xml:space="preserve"> recommends that the NIAID HIV/AIDS clinical trials networks adopt the use of consistent and comprehensive terminology on clinical trial data collection forms when requesting information regarding gender identity</w:t>
      </w:r>
      <w:r w:rsidR="004028D8">
        <w:rPr>
          <w:rFonts w:ascii="Calibri" w:eastAsia="Calibri" w:hAnsi="Calibri" w:cs="Times New Roman"/>
        </w:rPr>
        <w:t>. S</w:t>
      </w:r>
      <w:r w:rsidRPr="00607118">
        <w:rPr>
          <w:rFonts w:ascii="Calibri" w:eastAsia="Calibri" w:hAnsi="Calibri" w:cs="Times New Roman"/>
        </w:rPr>
        <w:t xml:space="preserve">uch information </w:t>
      </w:r>
      <w:r w:rsidR="004028D8">
        <w:rPr>
          <w:rFonts w:ascii="Calibri" w:eastAsia="Calibri" w:hAnsi="Calibri" w:cs="Times New Roman"/>
        </w:rPr>
        <w:t xml:space="preserve">should be collected </w:t>
      </w:r>
      <w:r w:rsidRPr="00607118">
        <w:rPr>
          <w:rFonts w:ascii="Calibri" w:eastAsia="Calibri" w:hAnsi="Calibri" w:cs="Times New Roman"/>
        </w:rPr>
        <w:t>independently of sex a</w:t>
      </w:r>
      <w:r>
        <w:rPr>
          <w:rFonts w:ascii="Calibri" w:eastAsia="Calibri" w:hAnsi="Calibri" w:cs="Times New Roman"/>
        </w:rPr>
        <w:t>ssigned a</w:t>
      </w:r>
      <w:r w:rsidRPr="00607118">
        <w:rPr>
          <w:rFonts w:ascii="Calibri" w:eastAsia="Calibri" w:hAnsi="Calibri" w:cs="Times New Roman"/>
        </w:rPr>
        <w:t>t birth</w:t>
      </w:r>
      <w:r>
        <w:rPr>
          <w:rFonts w:ascii="Calibri" w:eastAsia="Calibri" w:hAnsi="Calibri" w:cs="Times New Roman"/>
        </w:rPr>
        <w:t xml:space="preserve">, </w:t>
      </w:r>
      <w:r w:rsidR="006C3C60">
        <w:rPr>
          <w:rFonts w:ascii="Calibri" w:eastAsia="Calibri" w:hAnsi="Calibri" w:cs="Times New Roman"/>
        </w:rPr>
        <w:t xml:space="preserve">utilizing </w:t>
      </w:r>
      <w:r>
        <w:rPr>
          <w:rFonts w:ascii="Calibri" w:eastAsia="Calibri" w:hAnsi="Calibri" w:cs="Times New Roman"/>
        </w:rPr>
        <w:t>the two-step method.</w:t>
      </w:r>
      <w:r w:rsidR="00767387">
        <w:rPr>
          <w:rStyle w:val="FootnoteReference"/>
          <w:rFonts w:ascii="Calibri" w:eastAsia="Calibri" w:hAnsi="Calibri" w:cs="Times New Roman"/>
        </w:rPr>
        <w:footnoteReference w:id="1"/>
      </w:r>
    </w:p>
    <w:p w14:paraId="2509033D" w14:textId="4774CCA6" w:rsidR="00607118" w:rsidRPr="00607118" w:rsidRDefault="004028D8" w:rsidP="00607118">
      <w:pPr>
        <w:rPr>
          <w:rFonts w:ascii="Calibri" w:eastAsia="Calibri" w:hAnsi="Calibri" w:cs="Times New Roman"/>
        </w:rPr>
      </w:pPr>
      <w:r>
        <w:rPr>
          <w:rFonts w:ascii="Calibri" w:eastAsia="Calibri" w:hAnsi="Calibri" w:cs="Times New Roman"/>
        </w:rPr>
        <w:t>This</w:t>
      </w:r>
      <w:r w:rsidR="00607118" w:rsidRPr="00607118">
        <w:rPr>
          <w:rFonts w:ascii="Calibri" w:eastAsia="Calibri" w:hAnsi="Calibri" w:cs="Times New Roman"/>
        </w:rPr>
        <w:t xml:space="preserve"> would ensure that accurate data on current gender identity is captured distinctly from sex </w:t>
      </w:r>
      <w:r w:rsidR="00566097">
        <w:rPr>
          <w:rFonts w:ascii="Calibri" w:eastAsia="Calibri" w:hAnsi="Calibri" w:cs="Times New Roman"/>
        </w:rPr>
        <w:t>assigned a</w:t>
      </w:r>
      <w:r w:rsidR="00607118" w:rsidRPr="00607118">
        <w:rPr>
          <w:rFonts w:ascii="Calibri" w:eastAsia="Calibri" w:hAnsi="Calibri" w:cs="Times New Roman"/>
        </w:rPr>
        <w:t>t birth, treating these as two discrete parameters, which are also distinct from one’s sexual orientation. This change would be consistent with current recommendations from the Institute of Medicine and current practices by the Centers for Disease Control and Prevention, which use a “two-question system” that separates gender identity from sex assigned at birth in its adult HIV case report form and Enhanced HIV/AIDS Reporting System.</w:t>
      </w:r>
      <w:r w:rsidR="00607118" w:rsidRPr="00607118">
        <w:rPr>
          <w:rFonts w:ascii="Calibri" w:eastAsia="Calibri" w:hAnsi="Calibri" w:cs="Times New Roman"/>
          <w:vertAlign w:val="superscript"/>
        </w:rPr>
        <w:footnoteReference w:id="2"/>
      </w:r>
      <w:r w:rsidRPr="004028D8">
        <w:rPr>
          <w:rFonts w:ascii="Calibri" w:eastAsia="Calibri" w:hAnsi="Calibri" w:cs="Times New Roman"/>
        </w:rPr>
        <w:t xml:space="preserve"> </w:t>
      </w:r>
      <w:r w:rsidRPr="00607118">
        <w:rPr>
          <w:rFonts w:ascii="Calibri" w:eastAsia="Calibri" w:hAnsi="Calibri" w:cs="Times New Roman"/>
        </w:rPr>
        <w:t>A more inclusive form, regardless of the type of trial being conducted (</w:t>
      </w:r>
      <w:r>
        <w:rPr>
          <w:rFonts w:ascii="Calibri" w:eastAsia="Calibri" w:hAnsi="Calibri" w:cs="Times New Roman"/>
        </w:rPr>
        <w:t xml:space="preserve">HIV </w:t>
      </w:r>
      <w:r w:rsidRPr="00607118">
        <w:rPr>
          <w:rFonts w:ascii="Calibri" w:eastAsia="Calibri" w:hAnsi="Calibri" w:cs="Times New Roman"/>
        </w:rPr>
        <w:t xml:space="preserve">treatment or prevention), will contribute to the robustness of the clinical trial data, demonstrate cultural sensitivity by network staff, and contribute to creating a welcoming environment for transgender people.  </w:t>
      </w:r>
    </w:p>
    <w:p w14:paraId="65CDFA53" w14:textId="6F5D9E86" w:rsidR="00607118" w:rsidRPr="00607118" w:rsidRDefault="00607118" w:rsidP="00607118">
      <w:pPr>
        <w:rPr>
          <w:rFonts w:ascii="Calibri" w:eastAsia="Calibri" w:hAnsi="Calibri" w:cs="Times New Roman"/>
        </w:rPr>
      </w:pPr>
      <w:r w:rsidRPr="00607118">
        <w:rPr>
          <w:rFonts w:ascii="Calibri" w:eastAsia="Calibri" w:hAnsi="Calibri" w:cs="Times New Roman"/>
        </w:rPr>
        <w:t xml:space="preserve">The </w:t>
      </w:r>
      <w:r w:rsidR="00566097">
        <w:rPr>
          <w:rFonts w:ascii="Calibri" w:eastAsia="Calibri" w:hAnsi="Calibri" w:cs="Times New Roman"/>
        </w:rPr>
        <w:t>CNTWG</w:t>
      </w:r>
      <w:r w:rsidRPr="00607118">
        <w:rPr>
          <w:rFonts w:ascii="Calibri" w:eastAsia="Calibri" w:hAnsi="Calibri" w:cs="Times New Roman"/>
        </w:rPr>
        <w:t xml:space="preserve"> acknowledges that transgender pe</w:t>
      </w:r>
      <w:r>
        <w:rPr>
          <w:rFonts w:ascii="Calibri" w:eastAsia="Calibri" w:hAnsi="Calibri" w:cs="Times New Roman"/>
        </w:rPr>
        <w:t>ople</w:t>
      </w:r>
      <w:r w:rsidRPr="00607118">
        <w:rPr>
          <w:rFonts w:ascii="Calibri" w:eastAsia="Calibri" w:hAnsi="Calibri" w:cs="Times New Roman"/>
        </w:rPr>
        <w:t xml:space="preserve"> face legal discrimination and social stigma in many communities around the world.  Under those circumstances, even if the template is adopted for use for a given protocol, each participating clinical research site should carefully consider whether its use would increase the risk of physical, psychological, and/or social harm to any transgender participants.  If the template may incite, facilitate, or otherwise result in increased discrimination or stigma, or have legal ramifications, we do not recommend its use at that site.  In all other instances whe</w:t>
      </w:r>
      <w:r w:rsidR="004028D8">
        <w:rPr>
          <w:rFonts w:ascii="Calibri" w:eastAsia="Calibri" w:hAnsi="Calibri" w:cs="Times New Roman"/>
        </w:rPr>
        <w:t>re</w:t>
      </w:r>
      <w:r w:rsidRPr="00607118">
        <w:rPr>
          <w:rFonts w:ascii="Calibri" w:eastAsia="Calibri" w:hAnsi="Calibri" w:cs="Times New Roman"/>
        </w:rPr>
        <w:t xml:space="preserve"> the template is appropriate for use, the need for additional staff training and the capacity of the site to ensure participants’ confidentiality with respect to gender identity should be assessed.</w:t>
      </w:r>
    </w:p>
    <w:p w14:paraId="2A0920B7" w14:textId="77777777" w:rsidR="00607118" w:rsidRPr="00607118" w:rsidRDefault="00607118" w:rsidP="00607118">
      <w:pPr>
        <w:rPr>
          <w:rFonts w:ascii="Calibri" w:eastAsia="Calibri" w:hAnsi="Calibri" w:cs="Times New Roman"/>
          <w:b/>
        </w:rPr>
      </w:pPr>
      <w:r w:rsidRPr="00607118">
        <w:rPr>
          <w:rFonts w:ascii="Calibri" w:eastAsia="Calibri" w:hAnsi="Calibri" w:cs="Times New Roman"/>
          <w:b/>
        </w:rPr>
        <w:t xml:space="preserve">Rationale: </w:t>
      </w:r>
    </w:p>
    <w:p w14:paraId="3B38C8CC" w14:textId="77777777" w:rsidR="00607118" w:rsidRPr="00607118" w:rsidRDefault="00607118" w:rsidP="00DD403E">
      <w:r w:rsidRPr="00607118">
        <w:rPr>
          <w:rFonts w:ascii="Calibri" w:eastAsia="Calibri" w:hAnsi="Calibri" w:cs="Calibri"/>
          <w:lang w:bidi="en-US"/>
        </w:rPr>
        <w:t>The two-step method for collecting data on participants’ gender identity and sex assigned at birth is considered a best practice and is recommended by all leading transgender organizations as well as the Institute of Medicine. Step one of this method asks about participants’ current gender identity and includes a variety of options to choose from. Step two asks about the sex they were assigned at birth.</w:t>
      </w:r>
    </w:p>
    <w:p w14:paraId="0C7C1C6B" w14:textId="41673315" w:rsidR="00607118" w:rsidRPr="00607118" w:rsidRDefault="00607118" w:rsidP="00607118">
      <w:pPr>
        <w:widowControl w:val="0"/>
        <w:autoSpaceDE w:val="0"/>
        <w:autoSpaceDN w:val="0"/>
        <w:spacing w:after="0" w:line="240" w:lineRule="auto"/>
        <w:ind w:right="396"/>
        <w:rPr>
          <w:rFonts w:ascii="Calibri" w:eastAsia="Calibri" w:hAnsi="Calibri" w:cs="Calibri"/>
          <w:lang w:bidi="en-US"/>
        </w:rPr>
      </w:pPr>
      <w:r w:rsidRPr="00607118">
        <w:rPr>
          <w:rFonts w:ascii="Calibri" w:eastAsia="Calibri" w:hAnsi="Calibri" w:cs="Calibri"/>
          <w:lang w:bidi="en-US"/>
        </w:rPr>
        <w:t xml:space="preserve">This method allows </w:t>
      </w:r>
      <w:r w:rsidR="004028D8">
        <w:rPr>
          <w:rFonts w:ascii="Calibri" w:eastAsia="Calibri" w:hAnsi="Calibri" w:cs="Calibri"/>
          <w:lang w:bidi="en-US"/>
        </w:rPr>
        <w:t>for the</w:t>
      </w:r>
      <w:r w:rsidRPr="00607118">
        <w:rPr>
          <w:rFonts w:ascii="Calibri" w:eastAsia="Calibri" w:hAnsi="Calibri" w:cs="Calibri"/>
          <w:lang w:bidi="en-US"/>
        </w:rPr>
        <w:t xml:space="preserve"> accurate identif</w:t>
      </w:r>
      <w:r w:rsidR="004028D8">
        <w:rPr>
          <w:rFonts w:ascii="Calibri" w:eastAsia="Calibri" w:hAnsi="Calibri" w:cs="Calibri"/>
          <w:lang w:bidi="en-US"/>
        </w:rPr>
        <w:t>ication</w:t>
      </w:r>
      <w:r w:rsidRPr="00607118">
        <w:rPr>
          <w:rFonts w:ascii="Calibri" w:eastAsia="Calibri" w:hAnsi="Calibri" w:cs="Calibri"/>
          <w:lang w:bidi="en-US"/>
        </w:rPr>
        <w:t xml:space="preserve"> and categoriz</w:t>
      </w:r>
      <w:r w:rsidR="004028D8">
        <w:rPr>
          <w:rFonts w:ascii="Calibri" w:eastAsia="Calibri" w:hAnsi="Calibri" w:cs="Calibri"/>
          <w:lang w:bidi="en-US"/>
        </w:rPr>
        <w:t>ation of</w:t>
      </w:r>
      <w:r w:rsidRPr="00607118">
        <w:rPr>
          <w:rFonts w:ascii="Calibri" w:eastAsia="Calibri" w:hAnsi="Calibri" w:cs="Calibri"/>
          <w:lang w:bidi="en-US"/>
        </w:rPr>
        <w:t xml:space="preserve"> study par</w:t>
      </w:r>
      <w:r w:rsidR="00827461">
        <w:rPr>
          <w:rFonts w:ascii="Calibri" w:eastAsia="Calibri" w:hAnsi="Calibri" w:cs="Calibri"/>
          <w:lang w:bidi="en-US"/>
        </w:rPr>
        <w:t xml:space="preserve">ticipants. The likelihood of incorrectly </w:t>
      </w:r>
      <w:r w:rsidRPr="00607118">
        <w:rPr>
          <w:rFonts w:ascii="Calibri" w:eastAsia="Calibri" w:hAnsi="Calibri" w:cs="Calibri"/>
          <w:lang w:bidi="en-US"/>
        </w:rPr>
        <w:t>categorizing transgender study participants is high if this method is not used (e.g.</w:t>
      </w:r>
      <w:r w:rsidR="00566097">
        <w:rPr>
          <w:rFonts w:ascii="Calibri" w:eastAsia="Calibri" w:hAnsi="Calibri" w:cs="Calibri"/>
          <w:lang w:bidi="en-US"/>
        </w:rPr>
        <w:t>,</w:t>
      </w:r>
      <w:r w:rsidRPr="00607118">
        <w:rPr>
          <w:rFonts w:ascii="Calibri" w:eastAsia="Calibri" w:hAnsi="Calibri" w:cs="Calibri"/>
          <w:lang w:bidi="en-US"/>
        </w:rPr>
        <w:t xml:space="preserve"> a participant who checks “Woman” as her gender identity may have been assigned male at birth, and a participant who checks “Female” sex assigned at birth may identify as a man, gender non-conforming, or any other gender identity). Collecting accurate demographic data is crucial to understanding how study interventions may (or </w:t>
      </w:r>
      <w:r w:rsidRPr="00607118">
        <w:rPr>
          <w:rFonts w:ascii="Calibri" w:eastAsia="Calibri" w:hAnsi="Calibri" w:cs="Calibri"/>
          <w:lang w:bidi="en-US"/>
        </w:rPr>
        <w:lastRenderedPageBreak/>
        <w:t>may not) work differently across populations.</w:t>
      </w:r>
    </w:p>
    <w:p w14:paraId="105AF457" w14:textId="77777777" w:rsidR="00607118" w:rsidRPr="00607118" w:rsidRDefault="00607118" w:rsidP="00607118">
      <w:pPr>
        <w:widowControl w:val="0"/>
        <w:autoSpaceDE w:val="0"/>
        <w:autoSpaceDN w:val="0"/>
        <w:spacing w:after="0" w:line="240" w:lineRule="auto"/>
        <w:ind w:left="100" w:right="396"/>
        <w:rPr>
          <w:rFonts w:ascii="Calibri" w:eastAsia="Calibri" w:hAnsi="Calibri" w:cs="Calibri"/>
          <w:lang w:bidi="en-US"/>
        </w:rPr>
      </w:pPr>
    </w:p>
    <w:p w14:paraId="0C5C5B51" w14:textId="4CB572FC" w:rsidR="00607118" w:rsidRDefault="00607118" w:rsidP="00607118">
      <w:pPr>
        <w:rPr>
          <w:rFonts w:ascii="Calibri" w:eastAsia="Calibri" w:hAnsi="Calibri" w:cs="Times New Roman"/>
        </w:rPr>
      </w:pPr>
      <w:r w:rsidRPr="00607118">
        <w:rPr>
          <w:rFonts w:ascii="Calibri" w:eastAsia="Calibri" w:hAnsi="Calibri" w:cs="Times New Roman"/>
        </w:rPr>
        <w:t>The category of “transgender male” or “transgender female” has most commonly been included on demographic data collection forms for studies that are specific to or actively targeting those populations. But transgender people may be eligible for and interested in participating in studies that are not specific to transgender populations, and forms for those stud</w:t>
      </w:r>
      <w:r w:rsidR="004575E1">
        <w:rPr>
          <w:rFonts w:ascii="Calibri" w:eastAsia="Calibri" w:hAnsi="Calibri" w:cs="Times New Roman"/>
        </w:rPr>
        <w:t xml:space="preserve">ies should also be inclusive. </w:t>
      </w:r>
      <w:r w:rsidRPr="00607118">
        <w:rPr>
          <w:rFonts w:ascii="Calibri" w:eastAsia="Calibri" w:hAnsi="Calibri" w:cs="Times New Roman"/>
        </w:rPr>
        <w:t xml:space="preserve">Rather than requiring a transgender person to identify as “other,” inclusion of “transgender” as a category on data collection forms for all studies would show sensitivity to these populations.  The addition of a space for participants to write in the term they use to name their identity is another way to demonstrate sensitivity. The </w:t>
      </w:r>
      <w:r w:rsidR="00566097">
        <w:rPr>
          <w:rFonts w:ascii="Calibri" w:eastAsia="Calibri" w:hAnsi="Calibri" w:cs="Times New Roman"/>
        </w:rPr>
        <w:t>CNTWG</w:t>
      </w:r>
      <w:r w:rsidRPr="00607118">
        <w:rPr>
          <w:rFonts w:ascii="Calibri" w:eastAsia="Calibri" w:hAnsi="Calibri" w:cs="Times New Roman"/>
        </w:rPr>
        <w:t xml:space="preserve"> feels that the terminology/content of the data collection form should be standardized across protocols to assure consistency in the use of recommended gender identity categories. There is no downside to including this information, given that categories can always be combined if </w:t>
      </w:r>
      <w:r w:rsidR="00042B8A" w:rsidRPr="00607118">
        <w:rPr>
          <w:rFonts w:ascii="Calibri" w:eastAsia="Calibri" w:hAnsi="Calibri" w:cs="Times New Roman"/>
        </w:rPr>
        <w:t>necessary,</w:t>
      </w:r>
      <w:r w:rsidRPr="00607118">
        <w:rPr>
          <w:rFonts w:ascii="Calibri" w:eastAsia="Calibri" w:hAnsi="Calibri" w:cs="Times New Roman"/>
        </w:rPr>
        <w:t xml:space="preserve"> for purposes of data analysis and reporting.  Use of an inclusive data collection form as the established template ensures that this data is captured </w:t>
      </w:r>
      <w:r w:rsidR="004028D8">
        <w:rPr>
          <w:rFonts w:ascii="Calibri" w:eastAsia="Calibri" w:hAnsi="Calibri" w:cs="Times New Roman"/>
        </w:rPr>
        <w:t xml:space="preserve">accurately </w:t>
      </w:r>
      <w:r w:rsidRPr="00607118">
        <w:rPr>
          <w:rFonts w:ascii="Calibri" w:eastAsia="Calibri" w:hAnsi="Calibri" w:cs="Times New Roman"/>
        </w:rPr>
        <w:t>and that transgender pe</w:t>
      </w:r>
      <w:r w:rsidR="009C232A">
        <w:rPr>
          <w:rFonts w:ascii="Calibri" w:eastAsia="Calibri" w:hAnsi="Calibri" w:cs="Times New Roman"/>
        </w:rPr>
        <w:t>ople</w:t>
      </w:r>
      <w:r w:rsidRPr="00607118">
        <w:rPr>
          <w:rFonts w:ascii="Calibri" w:eastAsia="Calibri" w:hAnsi="Calibri" w:cs="Times New Roman"/>
        </w:rPr>
        <w:t xml:space="preserve"> feel included and acknowledged for who they are.  A uniform data collection process would also assist future attempts at cross-trial analyses.  </w:t>
      </w:r>
    </w:p>
    <w:p w14:paraId="1A9A229D" w14:textId="736F6910" w:rsidR="00944E2F" w:rsidRDefault="00796933" w:rsidP="00607118">
      <w:pPr>
        <w:rPr>
          <w:rFonts w:ascii="Calibri" w:eastAsia="Calibri" w:hAnsi="Calibri" w:cs="Times New Roman"/>
        </w:rPr>
      </w:pPr>
      <w:r w:rsidRPr="00541A2B">
        <w:rPr>
          <w:rFonts w:ascii="Calibri" w:eastAsia="Calibri" w:hAnsi="Calibri" w:cs="Times New Roman"/>
        </w:rPr>
        <w:t xml:space="preserve">Capturing data on gender and sex assigned at birth, in addition to data on sexual orientation, race and ethnicity, would also facilitate data reporting and potentially analyses that include the intersection of these demographic characteristics. Data yielding intersectional analyses offer more nuanced and potentially more useful information than data that are limited to single-variable analysis. For example, data that reflect participants as whole people (e.g. non-Hispanic Black cisgender heterosexual women) may allow for more real-world interpretations and applications than data analyzing only one participant characteristic at a time (e.g. cisgender women). Participant data should therefore be reported and analyzed with these intersections in mind where possible. </w:t>
      </w:r>
      <w:r w:rsidR="00944E2F" w:rsidRPr="00541A2B">
        <w:rPr>
          <w:rFonts w:ascii="Calibri" w:eastAsia="Calibri" w:hAnsi="Calibri" w:cs="Times New Roman"/>
        </w:rPr>
        <w:t xml:space="preserve"> </w:t>
      </w:r>
    </w:p>
    <w:p w14:paraId="141E7271" w14:textId="77777777" w:rsidR="00827461" w:rsidRPr="00541A2B" w:rsidRDefault="00827461" w:rsidP="00607118">
      <w:pPr>
        <w:rPr>
          <w:rFonts w:ascii="Calibri" w:eastAsia="Calibri" w:hAnsi="Calibri" w:cs="Times New Roman"/>
        </w:rPr>
      </w:pPr>
    </w:p>
    <w:p w14:paraId="4E27DE42" w14:textId="326CFFB2" w:rsidR="00607118" w:rsidRPr="00944E2F" w:rsidRDefault="00607118" w:rsidP="00607118">
      <w:pPr>
        <w:rPr>
          <w:rFonts w:ascii="Calibri" w:eastAsia="Calibri" w:hAnsi="Calibri" w:cs="Times New Roman"/>
        </w:rPr>
      </w:pPr>
      <w:r w:rsidRPr="00607118">
        <w:rPr>
          <w:rFonts w:ascii="Calibri" w:eastAsia="Calibri" w:hAnsi="Calibri" w:cs="Times New Roman"/>
          <w:b/>
        </w:rPr>
        <w:t xml:space="preserve">Proposed Categories for Gender Identity: </w:t>
      </w:r>
    </w:p>
    <w:p w14:paraId="2DCA2D99" w14:textId="74E6D339" w:rsidR="00253FDC" w:rsidRPr="005F0497" w:rsidRDefault="00607118" w:rsidP="00253FDC">
      <w:pPr>
        <w:pStyle w:val="NormalWeb"/>
        <w:shd w:val="clear" w:color="auto" w:fill="FFFFFF"/>
        <w:rPr>
          <w:rFonts w:ascii="Calibri" w:eastAsia="Calibri" w:hAnsi="Calibri"/>
          <w:sz w:val="22"/>
          <w:szCs w:val="22"/>
        </w:rPr>
      </w:pPr>
      <w:r w:rsidRPr="005F0497">
        <w:rPr>
          <w:rFonts w:ascii="Calibri" w:eastAsia="Calibri" w:hAnsi="Calibri"/>
          <w:sz w:val="22"/>
          <w:szCs w:val="22"/>
        </w:rPr>
        <w:t xml:space="preserve">The </w:t>
      </w:r>
      <w:r w:rsidR="00566097" w:rsidRPr="005F0497">
        <w:rPr>
          <w:rFonts w:ascii="Calibri" w:eastAsia="Calibri" w:hAnsi="Calibri"/>
          <w:sz w:val="22"/>
          <w:szCs w:val="22"/>
        </w:rPr>
        <w:t>CNTWG</w:t>
      </w:r>
      <w:r w:rsidRPr="005F0497">
        <w:rPr>
          <w:rFonts w:ascii="Calibri" w:eastAsia="Calibri" w:hAnsi="Calibri"/>
          <w:sz w:val="22"/>
          <w:szCs w:val="22"/>
        </w:rPr>
        <w:t xml:space="preserve"> recommends the categories below be included on data collection forms</w:t>
      </w:r>
      <w:r w:rsidR="00767387" w:rsidRPr="005F0497">
        <w:rPr>
          <w:rFonts w:ascii="Calibri" w:eastAsia="Calibri" w:hAnsi="Calibri"/>
          <w:sz w:val="22"/>
          <w:szCs w:val="22"/>
        </w:rPr>
        <w:t>.</w:t>
      </w:r>
      <w:r w:rsidR="003E0A86" w:rsidRPr="005F0497">
        <w:rPr>
          <w:rFonts w:ascii="Calibri" w:eastAsia="Calibri" w:hAnsi="Calibri"/>
          <w:sz w:val="22"/>
          <w:szCs w:val="22"/>
        </w:rPr>
        <w:t xml:space="preserve"> They are listed</w:t>
      </w:r>
      <w:r w:rsidR="00A6639E" w:rsidRPr="005F0497">
        <w:rPr>
          <w:rFonts w:ascii="Calibri" w:eastAsia="Calibri" w:hAnsi="Calibri"/>
          <w:sz w:val="22"/>
          <w:szCs w:val="22"/>
        </w:rPr>
        <w:t xml:space="preserve"> in alphabetical order so as not to suggest any hierarchy. The CNTWG suggests that a</w:t>
      </w:r>
      <w:r w:rsidR="00767387" w:rsidRPr="005F0497">
        <w:rPr>
          <w:rFonts w:ascii="Calibri" w:eastAsia="Calibri" w:hAnsi="Calibri"/>
          <w:sz w:val="22"/>
          <w:szCs w:val="22"/>
        </w:rPr>
        <w:t xml:space="preserve"> list of definition</w:t>
      </w:r>
      <w:r w:rsidR="00682FA1" w:rsidRPr="005F0497">
        <w:rPr>
          <w:rFonts w:ascii="Calibri" w:eastAsia="Calibri" w:hAnsi="Calibri"/>
          <w:sz w:val="22"/>
          <w:szCs w:val="22"/>
        </w:rPr>
        <w:t>s</w:t>
      </w:r>
      <w:r w:rsidR="00767387" w:rsidRPr="005F0497">
        <w:rPr>
          <w:rFonts w:ascii="Calibri" w:eastAsia="Calibri" w:hAnsi="Calibri"/>
          <w:sz w:val="22"/>
          <w:szCs w:val="22"/>
        </w:rPr>
        <w:t xml:space="preserve"> should be given to staff who are administering the collection of demographic data as they may be unfamiliar</w:t>
      </w:r>
      <w:r w:rsidR="00541A2B" w:rsidRPr="005F0497">
        <w:rPr>
          <w:rFonts w:ascii="Calibri" w:eastAsia="Calibri" w:hAnsi="Calibri"/>
          <w:sz w:val="22"/>
          <w:szCs w:val="22"/>
        </w:rPr>
        <w:t xml:space="preserve"> with these </w:t>
      </w:r>
      <w:r w:rsidR="00682FA1" w:rsidRPr="005F0497">
        <w:rPr>
          <w:rFonts w:ascii="Calibri" w:eastAsia="Calibri" w:hAnsi="Calibri"/>
          <w:sz w:val="22"/>
          <w:szCs w:val="22"/>
        </w:rPr>
        <w:t xml:space="preserve">terms. </w:t>
      </w:r>
      <w:r w:rsidR="00827461" w:rsidRPr="005F0497">
        <w:rPr>
          <w:rFonts w:ascii="Calibri" w:eastAsia="Calibri" w:hAnsi="Calibri"/>
          <w:sz w:val="22"/>
          <w:szCs w:val="22"/>
        </w:rPr>
        <w:t>(See Appendix 1</w:t>
      </w:r>
      <w:r w:rsidR="00287F4A" w:rsidRPr="005F0497">
        <w:rPr>
          <w:rFonts w:ascii="Calibri" w:eastAsia="Calibri" w:hAnsi="Calibri"/>
          <w:sz w:val="22"/>
          <w:szCs w:val="22"/>
        </w:rPr>
        <w:t>.</w:t>
      </w:r>
      <w:r w:rsidR="00827461" w:rsidRPr="005F0497">
        <w:rPr>
          <w:rFonts w:ascii="Calibri" w:eastAsia="Calibri" w:hAnsi="Calibri"/>
          <w:sz w:val="22"/>
          <w:szCs w:val="22"/>
        </w:rPr>
        <w:t xml:space="preserve">) </w:t>
      </w:r>
      <w:r w:rsidR="00682FA1" w:rsidRPr="005F0497">
        <w:rPr>
          <w:rFonts w:ascii="Calibri" w:eastAsia="Calibri" w:hAnsi="Calibri"/>
          <w:sz w:val="22"/>
          <w:szCs w:val="22"/>
        </w:rPr>
        <w:t>If the question is being</w:t>
      </w:r>
      <w:r w:rsidR="00767387" w:rsidRPr="005F0497">
        <w:rPr>
          <w:rFonts w:ascii="Calibri" w:eastAsia="Calibri" w:hAnsi="Calibri"/>
          <w:sz w:val="22"/>
          <w:szCs w:val="22"/>
        </w:rPr>
        <w:t xml:space="preserve"> </w:t>
      </w:r>
      <w:r w:rsidR="00682FA1" w:rsidRPr="005F0497">
        <w:rPr>
          <w:rFonts w:ascii="Calibri" w:eastAsia="Calibri" w:hAnsi="Calibri"/>
          <w:sz w:val="22"/>
          <w:szCs w:val="22"/>
        </w:rPr>
        <w:t>asked in a survey/questionnaire format</w:t>
      </w:r>
      <w:r w:rsidR="00287F4A" w:rsidRPr="005F0497">
        <w:rPr>
          <w:rFonts w:ascii="Calibri" w:eastAsia="Calibri" w:hAnsi="Calibri"/>
          <w:sz w:val="22"/>
          <w:szCs w:val="22"/>
        </w:rPr>
        <w:t>,</w:t>
      </w:r>
      <w:r w:rsidR="00682FA1" w:rsidRPr="005F0497">
        <w:rPr>
          <w:rFonts w:ascii="Calibri" w:eastAsia="Calibri" w:hAnsi="Calibri"/>
          <w:sz w:val="22"/>
          <w:szCs w:val="22"/>
        </w:rPr>
        <w:t xml:space="preserve"> the definitions </w:t>
      </w:r>
      <w:r w:rsidR="00767387" w:rsidRPr="005F0497">
        <w:rPr>
          <w:rFonts w:ascii="Calibri" w:eastAsia="Calibri" w:hAnsi="Calibri"/>
          <w:sz w:val="22"/>
          <w:szCs w:val="22"/>
        </w:rPr>
        <w:t>can be included next to the question</w:t>
      </w:r>
      <w:r w:rsidR="00682FA1" w:rsidRPr="005F0497">
        <w:rPr>
          <w:rFonts w:ascii="Calibri" w:eastAsia="Calibri" w:hAnsi="Calibri"/>
          <w:sz w:val="22"/>
          <w:szCs w:val="22"/>
        </w:rPr>
        <w:t xml:space="preserve">. </w:t>
      </w:r>
      <w:r w:rsidR="00253FDC" w:rsidRPr="005F0497">
        <w:rPr>
          <w:rFonts w:ascii="Calibri" w:eastAsia="Calibri" w:hAnsi="Calibri"/>
          <w:sz w:val="22"/>
          <w:szCs w:val="22"/>
        </w:rPr>
        <w:t>The footnoted items reflect the discussions of the CNTWG and may be relevant to include in instructions for completing the form, or in development of country-specific and culturally-specific versions of the form.</w:t>
      </w:r>
    </w:p>
    <w:p w14:paraId="422E6966" w14:textId="56B16BC2" w:rsidR="00607118" w:rsidRDefault="00253FDC" w:rsidP="00607118">
      <w:pPr>
        <w:rPr>
          <w:rFonts w:ascii="Calibri" w:eastAsia="Calibri" w:hAnsi="Calibri" w:cs="Times New Roman"/>
        </w:rPr>
      </w:pPr>
      <w:r w:rsidRPr="00607118" w:rsidDel="00253FDC">
        <w:rPr>
          <w:rFonts w:ascii="Calibri" w:eastAsia="Calibri" w:hAnsi="Calibri" w:cs="Times New Roman"/>
        </w:rPr>
        <w:t xml:space="preserve"> </w:t>
      </w:r>
      <w:r w:rsidR="00607118" w:rsidRPr="00607118">
        <w:rPr>
          <w:rFonts w:ascii="Calibri" w:eastAsia="Calibri" w:hAnsi="Calibri" w:cs="Times New Roman"/>
        </w:rPr>
        <w:t>[Questions to be read aloud to the participant]</w:t>
      </w:r>
    </w:p>
    <w:p w14:paraId="7F230BA1" w14:textId="7CF37AA0" w:rsidR="00566097" w:rsidRPr="007D2471" w:rsidRDefault="00607118" w:rsidP="00827461">
      <w:pPr>
        <w:pStyle w:val="ListParagraph"/>
        <w:numPr>
          <w:ilvl w:val="0"/>
          <w:numId w:val="9"/>
        </w:numPr>
        <w:spacing w:after="0" w:line="240" w:lineRule="auto"/>
        <w:rPr>
          <w:rFonts w:ascii="Calibri" w:eastAsia="Calibri" w:hAnsi="Calibri" w:cs="Times New Roman"/>
        </w:rPr>
      </w:pPr>
      <w:r w:rsidRPr="007D2471">
        <w:rPr>
          <w:rFonts w:ascii="Calibri" w:eastAsia="Calibri" w:hAnsi="Calibri" w:cs="Times New Roman"/>
        </w:rPr>
        <w:t xml:space="preserve">The next question asks about gender. Gender </w:t>
      </w:r>
      <w:r w:rsidR="00566097" w:rsidRPr="007D2471">
        <w:rPr>
          <w:rFonts w:ascii="Calibri" w:eastAsia="Calibri" w:hAnsi="Calibri" w:cs="Times New Roman"/>
        </w:rPr>
        <w:t xml:space="preserve">is the internal sense of how we identify as either a man, woman, neither, both, non-binary or non-conforming, terms that are often used to describe any identity that doesn’t fit neatly into the categories of man or woman. </w:t>
      </w:r>
      <w:r w:rsidR="007D2471">
        <w:rPr>
          <w:rFonts w:ascii="Calibri" w:eastAsia="Calibri" w:hAnsi="Calibri" w:cs="Times New Roman"/>
        </w:rPr>
        <w:t>“</w:t>
      </w:r>
      <w:r w:rsidRPr="007D2471">
        <w:rPr>
          <w:rFonts w:ascii="Calibri" w:eastAsia="Calibri" w:hAnsi="Calibri" w:cs="Times New Roman"/>
        </w:rPr>
        <w:t xml:space="preserve">I am asking whether you </w:t>
      </w:r>
      <w:r w:rsidR="00287F4A">
        <w:rPr>
          <w:rFonts w:ascii="Calibri" w:eastAsia="Calibri" w:hAnsi="Calibri" w:cs="Times New Roman"/>
        </w:rPr>
        <w:t xml:space="preserve">identify as </w:t>
      </w:r>
      <w:r w:rsidR="00566097" w:rsidRPr="007D2471">
        <w:rPr>
          <w:rFonts w:ascii="Calibri" w:eastAsia="Calibri" w:hAnsi="Calibri" w:cs="Times New Roman"/>
        </w:rPr>
        <w:t xml:space="preserve">a </w:t>
      </w:r>
      <w:r w:rsidR="00827461" w:rsidRPr="00253FDC">
        <w:rPr>
          <w:rFonts w:ascii="Calibri" w:eastAsia="Calibri" w:hAnsi="Calibri" w:cs="Times New Roman"/>
        </w:rPr>
        <w:t xml:space="preserve">cisgender man, </w:t>
      </w:r>
      <w:r w:rsidR="00287F4A" w:rsidRPr="00253FDC">
        <w:rPr>
          <w:rFonts w:ascii="Calibri" w:eastAsia="Calibri" w:hAnsi="Calibri" w:cs="Times New Roman"/>
        </w:rPr>
        <w:t xml:space="preserve">a </w:t>
      </w:r>
      <w:r w:rsidR="00827461" w:rsidRPr="00253FDC">
        <w:rPr>
          <w:rFonts w:ascii="Calibri" w:eastAsia="Calibri" w:hAnsi="Calibri" w:cs="Times New Roman"/>
        </w:rPr>
        <w:t xml:space="preserve">cisgender woman, </w:t>
      </w:r>
      <w:r w:rsidR="007D2471" w:rsidRPr="00253FDC">
        <w:rPr>
          <w:rFonts w:ascii="Calibri" w:eastAsia="Times New Roman" w:hAnsi="Calibri" w:cs="Times New Roman"/>
          <w:color w:val="000000"/>
          <w:sz w:val="24"/>
          <w:szCs w:val="24"/>
        </w:rPr>
        <w:t>genderqueer, gender non-conforming, gender non-binary, a man, a transgender man, a transgende</w:t>
      </w:r>
      <w:r w:rsidR="00827461" w:rsidRPr="00253FDC">
        <w:rPr>
          <w:rFonts w:ascii="Calibri" w:eastAsia="Times New Roman" w:hAnsi="Calibri" w:cs="Times New Roman"/>
          <w:color w:val="000000"/>
          <w:sz w:val="24"/>
          <w:szCs w:val="24"/>
        </w:rPr>
        <w:t>r woman, Two-Spirit, a woman,</w:t>
      </w:r>
      <w:r w:rsidR="007D2471" w:rsidRPr="00253FDC">
        <w:rPr>
          <w:rFonts w:ascii="Calibri" w:eastAsia="Times New Roman" w:hAnsi="Calibri" w:cs="Times New Roman"/>
          <w:color w:val="000000"/>
          <w:sz w:val="24"/>
          <w:szCs w:val="24"/>
        </w:rPr>
        <w:t xml:space="preserve"> </w:t>
      </w:r>
      <w:r w:rsidR="00827461" w:rsidRPr="00253FDC">
        <w:rPr>
          <w:rFonts w:ascii="Calibri" w:eastAsia="Times New Roman" w:hAnsi="Calibri" w:cs="Times New Roman"/>
          <w:color w:val="000000"/>
          <w:sz w:val="24"/>
          <w:szCs w:val="24"/>
        </w:rPr>
        <w:t>an additional category</w:t>
      </w:r>
      <w:r w:rsidR="00827461">
        <w:rPr>
          <w:rFonts w:ascii="Calibri" w:eastAsia="Times New Roman" w:hAnsi="Calibri" w:cs="Times New Roman"/>
          <w:color w:val="000000"/>
          <w:sz w:val="24"/>
          <w:szCs w:val="24"/>
        </w:rPr>
        <w:t xml:space="preserve">, </w:t>
      </w:r>
      <w:r w:rsidR="007D2471" w:rsidRPr="007D2471">
        <w:rPr>
          <w:rFonts w:ascii="Calibri" w:eastAsia="Times New Roman" w:hAnsi="Calibri" w:cs="Times New Roman"/>
          <w:color w:val="000000"/>
          <w:sz w:val="24"/>
          <w:szCs w:val="24"/>
        </w:rPr>
        <w:t xml:space="preserve">or if you </w:t>
      </w:r>
      <w:r w:rsidR="00287F4A">
        <w:rPr>
          <w:rFonts w:ascii="Calibri" w:eastAsia="Times New Roman" w:hAnsi="Calibri" w:cs="Times New Roman"/>
          <w:color w:val="000000"/>
          <w:sz w:val="24"/>
          <w:szCs w:val="24"/>
        </w:rPr>
        <w:t>prefer not to answer</w:t>
      </w:r>
      <w:r w:rsidR="007D2471">
        <w:rPr>
          <w:rFonts w:ascii="Calibri" w:eastAsia="Times New Roman" w:hAnsi="Calibri" w:cs="Times New Roman"/>
          <w:color w:val="000000"/>
          <w:sz w:val="24"/>
          <w:szCs w:val="24"/>
        </w:rPr>
        <w:t>.</w:t>
      </w:r>
      <w:r w:rsidR="00287F4A">
        <w:rPr>
          <w:rFonts w:ascii="Calibri" w:eastAsia="Times New Roman" w:hAnsi="Calibri" w:cs="Times New Roman"/>
          <w:color w:val="000000"/>
          <w:sz w:val="24"/>
          <w:szCs w:val="24"/>
        </w:rPr>
        <w:t xml:space="preserve">  If you identify as more than one of these categories, please let me know. </w:t>
      </w:r>
      <w:r w:rsidR="007D2471">
        <w:rPr>
          <w:rFonts w:ascii="Calibri" w:eastAsia="Times New Roman" w:hAnsi="Calibri" w:cs="Times New Roman"/>
          <w:color w:val="000000"/>
          <w:sz w:val="24"/>
          <w:szCs w:val="24"/>
        </w:rPr>
        <w:t>”</w:t>
      </w:r>
    </w:p>
    <w:p w14:paraId="1910EB4C" w14:textId="77777777" w:rsidR="007D2471" w:rsidRPr="007D2471" w:rsidRDefault="007D2471" w:rsidP="007D2471">
      <w:pPr>
        <w:pStyle w:val="ListParagraph"/>
        <w:spacing w:after="0" w:line="240" w:lineRule="auto"/>
        <w:ind w:left="540"/>
        <w:rPr>
          <w:rFonts w:ascii="Calibri" w:eastAsia="Calibri" w:hAnsi="Calibri" w:cs="Times New Roman"/>
        </w:rPr>
      </w:pPr>
    </w:p>
    <w:p w14:paraId="30B121A7" w14:textId="600F8082" w:rsidR="00607118" w:rsidRPr="00541A2B" w:rsidRDefault="00607118" w:rsidP="00607118">
      <w:pPr>
        <w:numPr>
          <w:ilvl w:val="0"/>
          <w:numId w:val="1"/>
        </w:numPr>
        <w:contextualSpacing/>
        <w:rPr>
          <w:rFonts w:ascii="Calibri" w:eastAsia="Calibri" w:hAnsi="Calibri" w:cs="Times New Roman"/>
        </w:rPr>
      </w:pPr>
      <w:r w:rsidRPr="00607118">
        <w:rPr>
          <w:rFonts w:ascii="Calibri" w:eastAsia="Calibri" w:hAnsi="Calibri" w:cs="Times New Roman"/>
        </w:rPr>
        <w:t xml:space="preserve">How do you </w:t>
      </w:r>
      <w:r>
        <w:rPr>
          <w:rFonts w:ascii="Calibri" w:eastAsia="Calibri" w:hAnsi="Calibri" w:cs="Times New Roman"/>
        </w:rPr>
        <w:t xml:space="preserve">currently </w:t>
      </w:r>
      <w:r w:rsidRPr="00607118">
        <w:rPr>
          <w:rFonts w:ascii="Calibri" w:eastAsia="Calibri" w:hAnsi="Calibri" w:cs="Times New Roman"/>
        </w:rPr>
        <w:t>identify your gender?  (mark all that apply)</w:t>
      </w:r>
      <w:r w:rsidRPr="00607118">
        <w:rPr>
          <w:rFonts w:ascii="Calibri" w:eastAsia="Calibri" w:hAnsi="Calibri" w:cs="Times New Roman"/>
          <w:vertAlign w:val="superscript"/>
        </w:rPr>
        <w:t>2</w:t>
      </w:r>
      <w:r w:rsidR="009C232A">
        <w:rPr>
          <w:rFonts w:ascii="Calibri" w:eastAsia="Calibri" w:hAnsi="Calibri" w:cs="Times New Roman"/>
          <w:vertAlign w:val="superscript"/>
        </w:rPr>
        <w:t>,</w:t>
      </w:r>
      <w:r w:rsidR="009C232A" w:rsidRPr="00607118">
        <w:rPr>
          <w:rFonts w:ascii="Calibri" w:eastAsia="Calibri" w:hAnsi="Calibri" w:cs="Times New Roman"/>
          <w:vertAlign w:val="superscript"/>
        </w:rPr>
        <w:t>3</w:t>
      </w:r>
    </w:p>
    <w:p w14:paraId="4DC1F090" w14:textId="1A9314A8" w:rsidR="00541A2B" w:rsidRPr="00253FDC" w:rsidRDefault="00541A2B" w:rsidP="00F531AF">
      <w:pPr>
        <w:ind w:left="720"/>
        <w:rPr>
          <w:rFonts w:ascii="Calibri" w:eastAsia="Calibri" w:hAnsi="Calibri" w:cs="Times New Roman"/>
        </w:rPr>
      </w:pPr>
      <w:r w:rsidRPr="00253FDC">
        <w:rPr>
          <w:rFonts w:ascii="Calibri" w:eastAsia="Calibri" w:hAnsi="Calibri" w:cs="Times New Roman"/>
          <w:i/>
        </w:rPr>
        <w:t>Note to staff:</w:t>
      </w:r>
      <w:r w:rsidRPr="00253FDC">
        <w:rPr>
          <w:rFonts w:ascii="Calibri" w:eastAsia="Calibri" w:hAnsi="Calibri" w:cs="Times New Roman"/>
        </w:rPr>
        <w:t xml:space="preserve"> </w:t>
      </w:r>
      <w:r w:rsidRPr="00253FDC">
        <w:rPr>
          <w:rFonts w:ascii="Calibri" w:eastAsia="Calibri" w:hAnsi="Calibri" w:cs="Times New Roman"/>
          <w:i/>
        </w:rPr>
        <w:t>The response is participant driven. Please mark all the categories indicated by the participant.</w:t>
      </w:r>
      <w:r w:rsidRPr="00253FDC">
        <w:rPr>
          <w:rFonts w:ascii="Calibri" w:eastAsia="Calibri" w:hAnsi="Calibri" w:cs="Times New Roman"/>
        </w:rPr>
        <w:t xml:space="preserve"> </w:t>
      </w:r>
    </w:p>
    <w:p w14:paraId="696D81C4" w14:textId="77777777" w:rsidR="009C232A" w:rsidRPr="00253FDC" w:rsidRDefault="009C232A" w:rsidP="00566097">
      <w:pPr>
        <w:pStyle w:val="ListParagraph"/>
        <w:numPr>
          <w:ilvl w:val="0"/>
          <w:numId w:val="5"/>
        </w:numPr>
      </w:pPr>
      <w:r w:rsidRPr="00253FDC">
        <w:t xml:space="preserve">Cisgender Man </w:t>
      </w:r>
    </w:p>
    <w:p w14:paraId="19677CFD" w14:textId="77777777" w:rsidR="009C232A" w:rsidRPr="00253FDC" w:rsidRDefault="009C232A" w:rsidP="00566097">
      <w:pPr>
        <w:pStyle w:val="ListParagraph"/>
        <w:numPr>
          <w:ilvl w:val="0"/>
          <w:numId w:val="5"/>
        </w:numPr>
      </w:pPr>
      <w:r w:rsidRPr="00253FDC">
        <w:t>Cisgender Woman</w:t>
      </w:r>
    </w:p>
    <w:p w14:paraId="0951A087" w14:textId="057E2119" w:rsidR="00566097" w:rsidRPr="00566097" w:rsidRDefault="00566097" w:rsidP="00566097">
      <w:pPr>
        <w:pStyle w:val="ListParagraph"/>
        <w:numPr>
          <w:ilvl w:val="0"/>
          <w:numId w:val="5"/>
        </w:numPr>
      </w:pPr>
      <w:r>
        <w:t>Genderqueer</w:t>
      </w:r>
    </w:p>
    <w:p w14:paraId="47C4DAC0" w14:textId="46F392C0" w:rsidR="00566097" w:rsidRPr="00541A2B" w:rsidRDefault="00566097" w:rsidP="00566097">
      <w:pPr>
        <w:pStyle w:val="ListParagraph"/>
        <w:numPr>
          <w:ilvl w:val="0"/>
          <w:numId w:val="5"/>
        </w:numPr>
      </w:pPr>
      <w:r w:rsidRPr="00541A2B">
        <w:t>Gender Non-conforming, Gender Non-binary</w:t>
      </w:r>
    </w:p>
    <w:p w14:paraId="70D58AE3" w14:textId="55F724EB" w:rsidR="00566097" w:rsidRPr="00541A2B" w:rsidRDefault="00566097" w:rsidP="00566097">
      <w:pPr>
        <w:pStyle w:val="ListParagraph"/>
        <w:numPr>
          <w:ilvl w:val="0"/>
          <w:numId w:val="5"/>
        </w:numPr>
      </w:pPr>
      <w:r w:rsidRPr="00541A2B">
        <w:t>Man</w:t>
      </w:r>
    </w:p>
    <w:p w14:paraId="4B3E0B2B" w14:textId="77777777" w:rsidR="00566097" w:rsidRPr="00541A2B" w:rsidRDefault="00566097" w:rsidP="00566097">
      <w:pPr>
        <w:pStyle w:val="ListParagraph"/>
        <w:numPr>
          <w:ilvl w:val="0"/>
          <w:numId w:val="5"/>
        </w:numPr>
      </w:pPr>
      <w:r w:rsidRPr="00541A2B">
        <w:t xml:space="preserve">Transgender </w:t>
      </w:r>
      <w:bookmarkStart w:id="0" w:name="_GoBack"/>
      <w:bookmarkEnd w:id="0"/>
      <w:r w:rsidRPr="00541A2B">
        <w:t>Man/Trans Man</w:t>
      </w:r>
    </w:p>
    <w:p w14:paraId="263F4F42" w14:textId="56421376" w:rsidR="00566097" w:rsidRPr="00541A2B" w:rsidRDefault="00566097" w:rsidP="00566097">
      <w:pPr>
        <w:pStyle w:val="ListParagraph"/>
        <w:numPr>
          <w:ilvl w:val="0"/>
          <w:numId w:val="5"/>
        </w:numPr>
      </w:pPr>
      <w:r w:rsidRPr="00541A2B">
        <w:t>Transgender Woman/Trans Woman</w:t>
      </w:r>
    </w:p>
    <w:p w14:paraId="3FF17194" w14:textId="01D2E4E1" w:rsidR="0068053F" w:rsidRPr="00541A2B" w:rsidRDefault="0068053F" w:rsidP="00566097">
      <w:pPr>
        <w:pStyle w:val="ListParagraph"/>
        <w:numPr>
          <w:ilvl w:val="0"/>
          <w:numId w:val="5"/>
        </w:numPr>
      </w:pPr>
      <w:r w:rsidRPr="00541A2B">
        <w:t>Two-Spirit</w:t>
      </w:r>
    </w:p>
    <w:p w14:paraId="313B754E" w14:textId="7D8C4BA7" w:rsidR="00566097" w:rsidRDefault="00566097" w:rsidP="00566097">
      <w:pPr>
        <w:pStyle w:val="ListParagraph"/>
        <w:numPr>
          <w:ilvl w:val="0"/>
          <w:numId w:val="5"/>
        </w:numPr>
      </w:pPr>
      <w:r>
        <w:t>Woman</w:t>
      </w:r>
    </w:p>
    <w:p w14:paraId="65D05A43" w14:textId="4662FF15" w:rsidR="00566097" w:rsidRDefault="00827461" w:rsidP="00566097">
      <w:pPr>
        <w:pStyle w:val="ListParagraph"/>
        <w:numPr>
          <w:ilvl w:val="0"/>
          <w:numId w:val="5"/>
        </w:numPr>
      </w:pPr>
      <w:r>
        <w:t>Additional Category, Please S</w:t>
      </w:r>
      <w:r w:rsidR="00566097">
        <w:t>pecify</w:t>
      </w:r>
      <w:r>
        <w:t xml:space="preserve"> </w:t>
      </w:r>
      <w:r w:rsidRPr="00607118">
        <w:rPr>
          <w:rFonts w:ascii="Calibri" w:eastAsia="Calibri" w:hAnsi="Calibri" w:cs="Times New Roman"/>
        </w:rPr>
        <w:t>_______________________________</w:t>
      </w:r>
    </w:p>
    <w:p w14:paraId="05239A87" w14:textId="77777777" w:rsidR="00566097" w:rsidRDefault="00566097" w:rsidP="00566097">
      <w:pPr>
        <w:pStyle w:val="ListParagraph"/>
        <w:numPr>
          <w:ilvl w:val="0"/>
          <w:numId w:val="5"/>
        </w:numPr>
      </w:pPr>
      <w:r>
        <w:t>Decline to Answer</w:t>
      </w:r>
    </w:p>
    <w:p w14:paraId="39CB5EB7" w14:textId="77777777" w:rsidR="00607118" w:rsidRPr="00607118" w:rsidRDefault="00607118" w:rsidP="00607118">
      <w:pPr>
        <w:ind w:left="720"/>
        <w:rPr>
          <w:rFonts w:ascii="Calibri" w:eastAsia="Calibri" w:hAnsi="Calibri" w:cs="Times New Roman"/>
        </w:rPr>
      </w:pPr>
      <w:r w:rsidRPr="00607118">
        <w:rPr>
          <w:rFonts w:ascii="Calibri" w:eastAsia="Calibri" w:hAnsi="Calibri" w:cs="Times New Roman"/>
          <w:vertAlign w:val="superscript"/>
        </w:rPr>
        <w:t>2</w:t>
      </w:r>
      <w:r w:rsidRPr="00607118">
        <w:rPr>
          <w:rFonts w:ascii="Calibri" w:eastAsia="Calibri" w:hAnsi="Calibri" w:cs="Times New Roman"/>
        </w:rPr>
        <w:t xml:space="preserve">This item must be self-reported by the participant. Site staff are encouraged to document in chart notes if the participant prefers to be referred to by a specific pronoun or gender during study participation. </w:t>
      </w:r>
    </w:p>
    <w:p w14:paraId="69580C88" w14:textId="52F2A013" w:rsidR="00253FDC" w:rsidRDefault="00607118" w:rsidP="00253FDC">
      <w:pPr>
        <w:ind w:left="720"/>
      </w:pPr>
      <w:r w:rsidRPr="00607118">
        <w:rPr>
          <w:rFonts w:ascii="Calibri" w:eastAsia="Calibri" w:hAnsi="Calibri" w:cs="Times New Roman"/>
          <w:vertAlign w:val="superscript"/>
        </w:rPr>
        <w:t>3</w:t>
      </w:r>
      <w:r w:rsidRPr="00607118">
        <w:rPr>
          <w:rFonts w:ascii="Calibri" w:eastAsia="Calibri" w:hAnsi="Calibri" w:cs="Times New Roman"/>
        </w:rPr>
        <w:t>It was noted that some of the terms</w:t>
      </w:r>
      <w:r w:rsidR="009C232A">
        <w:rPr>
          <w:rFonts w:ascii="Calibri" w:eastAsia="Calibri" w:hAnsi="Calibri" w:cs="Times New Roman"/>
        </w:rPr>
        <w:t xml:space="preserve"> listed</w:t>
      </w:r>
      <w:r w:rsidRPr="00607118">
        <w:rPr>
          <w:rFonts w:ascii="Calibri" w:eastAsia="Calibri" w:hAnsi="Calibri" w:cs="Times New Roman"/>
        </w:rPr>
        <w:t xml:space="preserve"> may differ by geographic location, particularly in non-US settings.  Genderqueer, in particular, may not be used outside of the US and in those instances, “gender non-conforming” </w:t>
      </w:r>
      <w:r>
        <w:rPr>
          <w:rFonts w:ascii="Calibri" w:eastAsia="Calibri" w:hAnsi="Calibri" w:cs="Times New Roman"/>
        </w:rPr>
        <w:t xml:space="preserve">or gender non-binary </w:t>
      </w:r>
      <w:r w:rsidRPr="00607118">
        <w:rPr>
          <w:rFonts w:ascii="Calibri" w:eastAsia="Calibri" w:hAnsi="Calibri" w:cs="Times New Roman"/>
        </w:rPr>
        <w:t xml:space="preserve">may be more appropriate.  </w:t>
      </w:r>
      <w:r w:rsidR="00253FDC">
        <w:t xml:space="preserve">It is important to obtain input from community stakeholders, community members, and representatives from local community groups serving these populations to determine which terms are more culturally appropriate or most commonly used in any given region or country. </w:t>
      </w:r>
    </w:p>
    <w:p w14:paraId="33867887" w14:textId="6E2844CC" w:rsidR="007273D4" w:rsidRPr="00607118" w:rsidRDefault="007273D4" w:rsidP="00253FDC">
      <w:pPr>
        <w:rPr>
          <w:rFonts w:ascii="Calibri" w:eastAsia="Calibri" w:hAnsi="Calibri" w:cs="Times New Roman"/>
        </w:rPr>
      </w:pPr>
    </w:p>
    <w:p w14:paraId="17E9D1B8" w14:textId="6FB36919" w:rsidR="00607118" w:rsidRPr="000D1D2C" w:rsidRDefault="00607118" w:rsidP="000D1D2C">
      <w:pPr>
        <w:pStyle w:val="ListParagraph"/>
        <w:numPr>
          <w:ilvl w:val="0"/>
          <w:numId w:val="9"/>
        </w:numPr>
        <w:rPr>
          <w:rFonts w:ascii="Calibri" w:eastAsia="Calibri" w:hAnsi="Calibri" w:cs="Times New Roman"/>
        </w:rPr>
      </w:pPr>
      <w:r w:rsidRPr="000D1D2C">
        <w:rPr>
          <w:rFonts w:ascii="Calibri" w:eastAsia="Calibri" w:hAnsi="Calibri" w:cs="Times New Roman"/>
        </w:rPr>
        <w:t xml:space="preserve">This question is about </w:t>
      </w:r>
      <w:r w:rsidR="000E4979">
        <w:rPr>
          <w:rFonts w:ascii="Calibri" w:eastAsia="Calibri" w:hAnsi="Calibri" w:cs="Times New Roman"/>
        </w:rPr>
        <w:t xml:space="preserve">the </w:t>
      </w:r>
      <w:r w:rsidRPr="000D1D2C">
        <w:rPr>
          <w:rFonts w:ascii="Calibri" w:eastAsia="Calibri" w:hAnsi="Calibri" w:cs="Times New Roman"/>
        </w:rPr>
        <w:t xml:space="preserve">sex </w:t>
      </w:r>
      <w:r w:rsidR="000E4979">
        <w:rPr>
          <w:rFonts w:ascii="Calibri" w:eastAsia="Calibri" w:hAnsi="Calibri" w:cs="Times New Roman"/>
        </w:rPr>
        <w:t xml:space="preserve">that was </w:t>
      </w:r>
      <w:r w:rsidRPr="000D1D2C">
        <w:rPr>
          <w:rFonts w:ascii="Calibri" w:eastAsia="Calibri" w:hAnsi="Calibri" w:cs="Times New Roman"/>
        </w:rPr>
        <w:t xml:space="preserve">assigned to you at birth. </w:t>
      </w:r>
      <w:r w:rsidR="007D2471">
        <w:rPr>
          <w:rFonts w:ascii="Calibri" w:eastAsia="Calibri" w:hAnsi="Calibri" w:cs="Times New Roman"/>
        </w:rPr>
        <w:t>“</w:t>
      </w:r>
      <w:r w:rsidRPr="000D1D2C">
        <w:rPr>
          <w:rFonts w:ascii="Calibri" w:eastAsia="Calibri" w:hAnsi="Calibri" w:cs="Times New Roman"/>
        </w:rPr>
        <w:t xml:space="preserve">When I ask about your sex assigned at birth, I am asking about what sex you were determined to be at birth, which is generally done </w:t>
      </w:r>
      <w:r w:rsidR="000D1D2C" w:rsidRPr="000D1D2C">
        <w:rPr>
          <w:rFonts w:ascii="Calibri" w:eastAsia="Calibri" w:hAnsi="Calibri" w:cs="Times New Roman"/>
        </w:rPr>
        <w:t xml:space="preserve">when a health care provider examines </w:t>
      </w:r>
      <w:r w:rsidRPr="000D1D2C">
        <w:rPr>
          <w:rFonts w:ascii="Calibri" w:eastAsia="Calibri" w:hAnsi="Calibri" w:cs="Times New Roman"/>
        </w:rPr>
        <w:t>a baby’s genitals (sex organs).</w:t>
      </w:r>
      <w:r w:rsidR="007D2471">
        <w:rPr>
          <w:rFonts w:ascii="Calibri" w:eastAsia="Calibri" w:hAnsi="Calibri" w:cs="Times New Roman"/>
        </w:rPr>
        <w:t>”</w:t>
      </w:r>
    </w:p>
    <w:p w14:paraId="133F68AE" w14:textId="77777777" w:rsidR="000D1D2C" w:rsidRDefault="00607118" w:rsidP="00607118">
      <w:pPr>
        <w:numPr>
          <w:ilvl w:val="0"/>
          <w:numId w:val="1"/>
        </w:numPr>
        <w:contextualSpacing/>
        <w:rPr>
          <w:rFonts w:ascii="Calibri" w:eastAsia="Calibri" w:hAnsi="Calibri" w:cs="Times New Roman"/>
        </w:rPr>
      </w:pPr>
      <w:r w:rsidRPr="00607118">
        <w:rPr>
          <w:rFonts w:ascii="Calibri" w:eastAsia="Calibri" w:hAnsi="Calibri" w:cs="Times New Roman"/>
        </w:rPr>
        <w:t>What was your sex</w:t>
      </w:r>
      <w:r>
        <w:rPr>
          <w:rFonts w:ascii="Calibri" w:eastAsia="Calibri" w:hAnsi="Calibri" w:cs="Times New Roman"/>
        </w:rPr>
        <w:t xml:space="preserve"> assigned</w:t>
      </w:r>
      <w:r w:rsidRPr="00607118">
        <w:rPr>
          <w:rFonts w:ascii="Calibri" w:eastAsia="Calibri" w:hAnsi="Calibri" w:cs="Times New Roman"/>
        </w:rPr>
        <w:t xml:space="preserve"> at birth?</w:t>
      </w:r>
      <w:r w:rsidRPr="00607118">
        <w:rPr>
          <w:rFonts w:ascii="Calibri" w:eastAsia="Calibri" w:hAnsi="Calibri" w:cs="Times New Roman"/>
        </w:rPr>
        <w:tab/>
      </w:r>
      <w:r w:rsidRPr="00607118">
        <w:rPr>
          <w:rFonts w:ascii="Calibri" w:eastAsia="Calibri" w:hAnsi="Calibri" w:cs="Times New Roman"/>
        </w:rPr>
        <w:tab/>
      </w:r>
    </w:p>
    <w:p w14:paraId="30B8E63C" w14:textId="77777777" w:rsidR="007D2471" w:rsidRDefault="007D2471" w:rsidP="000D1D2C">
      <w:pPr>
        <w:numPr>
          <w:ilvl w:val="0"/>
          <w:numId w:val="3"/>
        </w:numPr>
        <w:contextualSpacing/>
        <w:rPr>
          <w:rFonts w:ascii="Calibri" w:eastAsia="Calibri" w:hAnsi="Calibri" w:cs="Times New Roman"/>
        </w:rPr>
      </w:pPr>
      <w:r w:rsidRPr="00607118">
        <w:rPr>
          <w:rFonts w:ascii="Calibri" w:eastAsia="Calibri" w:hAnsi="Calibri" w:cs="Times New Roman"/>
        </w:rPr>
        <w:t xml:space="preserve">Female   </w:t>
      </w:r>
    </w:p>
    <w:p w14:paraId="6078381C" w14:textId="77777777" w:rsidR="007D2471" w:rsidRDefault="00607118" w:rsidP="007D2471">
      <w:pPr>
        <w:numPr>
          <w:ilvl w:val="0"/>
          <w:numId w:val="3"/>
        </w:numPr>
        <w:contextualSpacing/>
        <w:rPr>
          <w:rFonts w:ascii="Calibri" w:eastAsia="Calibri" w:hAnsi="Calibri" w:cs="Times New Roman"/>
        </w:rPr>
      </w:pPr>
      <w:r w:rsidRPr="00607118">
        <w:rPr>
          <w:rFonts w:ascii="Calibri" w:eastAsia="Calibri" w:hAnsi="Calibri" w:cs="Times New Roman"/>
        </w:rPr>
        <w:t>Mal</w:t>
      </w:r>
      <w:r w:rsidR="007D2471">
        <w:rPr>
          <w:rFonts w:ascii="Calibri" w:eastAsia="Calibri" w:hAnsi="Calibri" w:cs="Times New Roman"/>
        </w:rPr>
        <w:t>e</w:t>
      </w:r>
    </w:p>
    <w:p w14:paraId="001F2B75" w14:textId="7B0A980E" w:rsidR="00607118" w:rsidRPr="007D2471" w:rsidRDefault="00607118" w:rsidP="007D2471">
      <w:pPr>
        <w:numPr>
          <w:ilvl w:val="0"/>
          <w:numId w:val="3"/>
        </w:numPr>
        <w:contextualSpacing/>
        <w:rPr>
          <w:rFonts w:ascii="Calibri" w:eastAsia="Calibri" w:hAnsi="Calibri" w:cs="Times New Roman"/>
        </w:rPr>
      </w:pPr>
      <w:r w:rsidRPr="007D2471">
        <w:rPr>
          <w:rFonts w:ascii="Calibri" w:eastAsia="Calibri" w:hAnsi="Calibri" w:cs="Times New Roman"/>
        </w:rPr>
        <w:t>Intersex</w:t>
      </w:r>
      <w:r w:rsidRPr="007D2471">
        <w:rPr>
          <w:rFonts w:ascii="Calibri" w:eastAsia="Calibri" w:hAnsi="Calibri" w:cs="Times New Roman"/>
          <w:vertAlign w:val="superscript"/>
        </w:rPr>
        <w:t>4</w:t>
      </w:r>
    </w:p>
    <w:p w14:paraId="78BF6E01" w14:textId="4741B860" w:rsidR="00566097" w:rsidRPr="00607118" w:rsidRDefault="00566097" w:rsidP="000D1D2C">
      <w:pPr>
        <w:numPr>
          <w:ilvl w:val="0"/>
          <w:numId w:val="3"/>
        </w:numPr>
        <w:contextualSpacing/>
        <w:rPr>
          <w:rFonts w:ascii="Calibri" w:eastAsia="Calibri" w:hAnsi="Calibri" w:cs="Times New Roman"/>
        </w:rPr>
      </w:pPr>
      <w:r w:rsidRPr="00566097">
        <w:rPr>
          <w:rFonts w:ascii="Calibri" w:eastAsia="Calibri" w:hAnsi="Calibri" w:cs="Times New Roman"/>
        </w:rPr>
        <w:t>Decline to Answer</w:t>
      </w:r>
      <w:r w:rsidR="000D1D2C" w:rsidRPr="000D1D2C">
        <w:rPr>
          <w:rFonts w:ascii="Calibri" w:eastAsia="Calibri" w:hAnsi="Calibri" w:cs="Times New Roman"/>
          <w:vertAlign w:val="superscript"/>
        </w:rPr>
        <w:t>5</w:t>
      </w:r>
    </w:p>
    <w:p w14:paraId="46D2D00A" w14:textId="77777777" w:rsidR="00607118" w:rsidRPr="00607118" w:rsidRDefault="00607118" w:rsidP="00607118">
      <w:pPr>
        <w:ind w:left="720"/>
        <w:contextualSpacing/>
        <w:rPr>
          <w:rFonts w:ascii="Calibri" w:eastAsia="Calibri" w:hAnsi="Calibri" w:cs="Times New Roman"/>
        </w:rPr>
      </w:pPr>
    </w:p>
    <w:p w14:paraId="2083F3BE" w14:textId="19546A6B" w:rsidR="00607118" w:rsidRDefault="00607118" w:rsidP="00DD403E">
      <w:pPr>
        <w:ind w:left="720"/>
        <w:rPr>
          <w:rFonts w:ascii="Calibri" w:eastAsia="Calibri" w:hAnsi="Calibri" w:cs="Times New Roman"/>
        </w:rPr>
      </w:pPr>
      <w:r w:rsidRPr="00607118">
        <w:rPr>
          <w:rFonts w:ascii="Calibri" w:eastAsia="Calibri" w:hAnsi="Calibri" w:cs="Times New Roman"/>
          <w:vertAlign w:val="superscript"/>
        </w:rPr>
        <w:t>4</w:t>
      </w:r>
      <w:r w:rsidRPr="00607118">
        <w:rPr>
          <w:rFonts w:ascii="Calibri" w:eastAsia="Calibri" w:hAnsi="Calibri" w:cs="Times New Roman"/>
        </w:rPr>
        <w:t>In some settings, it may be culturally and geographically appropriate to include a third option:  intersex. The existence of “intersex” challenges the idea that sex is binary.  In South Africa, for example, it is approximated that 1 in every 50 people have atypical (different from the norm) sex organs.  For data analysis purposes, the concordance or discordance of gender identity and birth sex responses would determine how to combine the fields, with discordant responses being treated as “transgender”.</w:t>
      </w:r>
    </w:p>
    <w:p w14:paraId="3C1B5B00" w14:textId="05528343" w:rsidR="000D1D2C" w:rsidRDefault="000D1D2C" w:rsidP="000D1D2C">
      <w:pPr>
        <w:widowControl w:val="0"/>
        <w:autoSpaceDE w:val="0"/>
        <w:autoSpaceDN w:val="0"/>
        <w:spacing w:before="1" w:after="0" w:line="240" w:lineRule="auto"/>
        <w:ind w:left="720" w:right="103"/>
        <w:rPr>
          <w:rFonts w:ascii="Calibri" w:eastAsia="Calibri" w:hAnsi="Calibri" w:cs="Calibri"/>
          <w:lang w:bidi="en-US"/>
        </w:rPr>
      </w:pPr>
      <w:r w:rsidRPr="000D1D2C">
        <w:rPr>
          <w:rFonts w:ascii="Calibri" w:eastAsia="Calibri" w:hAnsi="Calibri" w:cs="Times New Roman"/>
          <w:vertAlign w:val="superscript"/>
        </w:rPr>
        <w:t>5</w:t>
      </w:r>
      <w:r w:rsidRPr="000D1D2C">
        <w:rPr>
          <w:rFonts w:ascii="Calibri" w:eastAsia="Calibri" w:hAnsi="Calibri" w:cs="Calibri"/>
          <w:lang w:bidi="en-US"/>
        </w:rPr>
        <w:t xml:space="preserve"> </w:t>
      </w:r>
      <w:r w:rsidRPr="00607118">
        <w:rPr>
          <w:rFonts w:ascii="Calibri" w:eastAsia="Calibri" w:hAnsi="Calibri" w:cs="Calibri"/>
          <w:lang w:bidi="en-US"/>
        </w:rPr>
        <w:t xml:space="preserve">Because the question about sex assigned at birth can be problematic for some transgender and </w:t>
      </w:r>
      <w:r w:rsidRPr="00607118">
        <w:rPr>
          <w:rFonts w:ascii="Calibri" w:eastAsia="Calibri" w:hAnsi="Calibri" w:cs="Calibri"/>
          <w:lang w:bidi="en-US"/>
        </w:rPr>
        <w:lastRenderedPageBreak/>
        <w:t>gender non-conforming people, it is best to include a “decline to answer” option and also a rationale for asking this question, such as, “some biological processes are impacted by the sex you were assigned at birth, so it is important to record this</w:t>
      </w:r>
      <w:r w:rsidRPr="00607118">
        <w:rPr>
          <w:rFonts w:ascii="Calibri" w:eastAsia="Calibri" w:hAnsi="Calibri" w:cs="Calibri"/>
          <w:spacing w:val="-11"/>
          <w:lang w:bidi="en-US"/>
        </w:rPr>
        <w:t xml:space="preserve"> </w:t>
      </w:r>
      <w:r w:rsidRPr="00607118">
        <w:rPr>
          <w:rFonts w:ascii="Calibri" w:eastAsia="Calibri" w:hAnsi="Calibri" w:cs="Calibri"/>
          <w:lang w:bidi="en-US"/>
        </w:rPr>
        <w:t xml:space="preserve">information.”  The rationale can easily be included with instructions given to staff who are administering the collection of demographic data, or it can be included next to the question if being asked in a survey/questionnaire format. </w:t>
      </w:r>
    </w:p>
    <w:p w14:paraId="49826500" w14:textId="6098C235" w:rsidR="00541A2B" w:rsidRDefault="00541A2B" w:rsidP="000D1D2C">
      <w:pPr>
        <w:widowControl w:val="0"/>
        <w:autoSpaceDE w:val="0"/>
        <w:autoSpaceDN w:val="0"/>
        <w:spacing w:before="1" w:after="0" w:line="240" w:lineRule="auto"/>
        <w:ind w:left="720" w:right="103"/>
        <w:rPr>
          <w:rFonts w:ascii="Calibri" w:eastAsia="Calibri" w:hAnsi="Calibri" w:cs="Calibri"/>
          <w:lang w:bidi="en-US"/>
        </w:rPr>
      </w:pPr>
    </w:p>
    <w:p w14:paraId="5F5F4B63" w14:textId="77777777" w:rsidR="009230E4" w:rsidRPr="00607118" w:rsidRDefault="009230E4" w:rsidP="000D1D2C">
      <w:pPr>
        <w:widowControl w:val="0"/>
        <w:autoSpaceDE w:val="0"/>
        <w:autoSpaceDN w:val="0"/>
        <w:spacing w:before="1" w:after="0" w:line="240" w:lineRule="auto"/>
        <w:ind w:left="720" w:right="103"/>
        <w:rPr>
          <w:rFonts w:ascii="Calibri" w:eastAsia="Calibri" w:hAnsi="Calibri" w:cs="Calibri"/>
          <w:lang w:bidi="en-US"/>
        </w:rPr>
      </w:pPr>
    </w:p>
    <w:p w14:paraId="729EC5D5" w14:textId="168A40D0" w:rsidR="009C232A" w:rsidRDefault="009C232A" w:rsidP="009C232A">
      <w:pPr>
        <w:spacing w:line="252" w:lineRule="auto"/>
        <w:rPr>
          <w:rFonts w:ascii="Calibri" w:eastAsia="Calibri" w:hAnsi="Calibri" w:cs="Calibri"/>
          <w:lang w:bidi="en-US"/>
        </w:rPr>
      </w:pPr>
      <w:r w:rsidRPr="00541A2B">
        <w:rPr>
          <w:rFonts w:ascii="Calibri" w:eastAsia="Calibri" w:hAnsi="Calibri" w:cs="Calibri"/>
          <w:lang w:bidi="en-US"/>
        </w:rPr>
        <w:t>Not all the networks ask about sexual orientation on demographic case</w:t>
      </w:r>
      <w:r w:rsidR="00827461">
        <w:rPr>
          <w:rFonts w:ascii="Calibri" w:eastAsia="Calibri" w:hAnsi="Calibri" w:cs="Calibri"/>
          <w:lang w:bidi="en-US"/>
        </w:rPr>
        <w:t xml:space="preserve"> report forms (CRF) but some regularly </w:t>
      </w:r>
      <w:r w:rsidR="009230E4">
        <w:rPr>
          <w:rFonts w:ascii="Calibri" w:eastAsia="Calibri" w:hAnsi="Calibri" w:cs="Calibri"/>
          <w:lang w:bidi="en-US"/>
        </w:rPr>
        <w:t xml:space="preserve">include the question and </w:t>
      </w:r>
      <w:r>
        <w:rPr>
          <w:rFonts w:ascii="Calibri" w:eastAsia="Calibri" w:hAnsi="Calibri" w:cs="Calibri"/>
          <w:lang w:bidi="en-US"/>
        </w:rPr>
        <w:t xml:space="preserve">others ask on </w:t>
      </w:r>
      <w:r w:rsidRPr="00541A2B">
        <w:rPr>
          <w:rFonts w:ascii="Calibri" w:eastAsia="Calibri" w:hAnsi="Calibri" w:cs="Calibri"/>
          <w:lang w:bidi="en-US"/>
        </w:rPr>
        <w:t>a prot</w:t>
      </w:r>
      <w:r w:rsidR="009230E4">
        <w:rPr>
          <w:rFonts w:ascii="Calibri" w:eastAsia="Calibri" w:hAnsi="Calibri" w:cs="Calibri"/>
          <w:lang w:bidi="en-US"/>
        </w:rPr>
        <w:t xml:space="preserve">ocol-specific basis. For studies that require </w:t>
      </w:r>
      <w:r w:rsidRPr="00541A2B">
        <w:rPr>
          <w:rFonts w:ascii="Calibri" w:eastAsia="Calibri" w:hAnsi="Calibri" w:cs="Calibri"/>
          <w:lang w:bidi="en-US"/>
        </w:rPr>
        <w:t>information</w:t>
      </w:r>
      <w:r>
        <w:rPr>
          <w:rFonts w:ascii="Calibri" w:eastAsia="Calibri" w:hAnsi="Calibri" w:cs="Calibri"/>
          <w:lang w:bidi="en-US"/>
        </w:rPr>
        <w:t xml:space="preserve"> about sexual practices</w:t>
      </w:r>
      <w:r w:rsidRPr="00541A2B">
        <w:rPr>
          <w:rFonts w:ascii="Calibri" w:eastAsia="Calibri" w:hAnsi="Calibri" w:cs="Calibri"/>
          <w:lang w:bidi="en-US"/>
        </w:rPr>
        <w:t>, a behavioral assessment or questionnaire may be used</w:t>
      </w:r>
      <w:r>
        <w:rPr>
          <w:rFonts w:ascii="Calibri" w:eastAsia="Calibri" w:hAnsi="Calibri" w:cs="Calibri"/>
          <w:lang w:bidi="en-US"/>
        </w:rPr>
        <w:t xml:space="preserve"> regardless of whether sexual orientation is captured</w:t>
      </w:r>
      <w:r w:rsidRPr="00541A2B">
        <w:rPr>
          <w:rFonts w:ascii="Calibri" w:eastAsia="Calibri" w:hAnsi="Calibri" w:cs="Calibri"/>
          <w:lang w:bidi="en-US"/>
        </w:rPr>
        <w:t xml:space="preserve">. </w:t>
      </w:r>
      <w:r>
        <w:rPr>
          <w:rFonts w:ascii="Calibri" w:eastAsia="Calibri" w:hAnsi="Calibri" w:cs="Calibri"/>
          <w:lang w:bidi="en-US"/>
        </w:rPr>
        <w:t xml:space="preserve">This is necessary because </w:t>
      </w:r>
      <w:r w:rsidRPr="00677ECC">
        <w:rPr>
          <w:rFonts w:ascii="Calibri" w:eastAsia="Calibri" w:hAnsi="Calibri" w:cs="Calibri"/>
          <w:lang w:bidi="en-US"/>
        </w:rPr>
        <w:t xml:space="preserve">one’s sexual orientation does not necessarily correspond to specific </w:t>
      </w:r>
      <w:r w:rsidR="00DB22FE">
        <w:rPr>
          <w:rFonts w:ascii="Calibri" w:eastAsia="Calibri" w:hAnsi="Calibri" w:cs="Calibri"/>
          <w:lang w:bidi="en-US"/>
        </w:rPr>
        <w:t xml:space="preserve">sexual </w:t>
      </w:r>
      <w:r w:rsidRPr="00677ECC">
        <w:rPr>
          <w:rFonts w:ascii="Calibri" w:eastAsia="Calibri" w:hAnsi="Calibri" w:cs="Calibri"/>
          <w:lang w:bidi="en-US"/>
        </w:rPr>
        <w:t>behaviors and practices.</w:t>
      </w:r>
      <w:r>
        <w:rPr>
          <w:rFonts w:ascii="Calibri" w:eastAsia="Calibri" w:hAnsi="Calibri" w:cs="Calibri"/>
          <w:lang w:bidi="en-US"/>
        </w:rPr>
        <w:t xml:space="preserve"> </w:t>
      </w:r>
    </w:p>
    <w:p w14:paraId="12A813C3" w14:textId="305A1CAD" w:rsidR="007273D4" w:rsidRPr="009230E4" w:rsidRDefault="009C232A" w:rsidP="009230E4">
      <w:pPr>
        <w:spacing w:line="252" w:lineRule="auto"/>
        <w:rPr>
          <w:rFonts w:ascii="Calibri" w:eastAsia="Calibri" w:hAnsi="Calibri" w:cs="Calibri"/>
          <w:lang w:bidi="en-US"/>
        </w:rPr>
      </w:pPr>
      <w:r w:rsidRPr="00541A2B">
        <w:rPr>
          <w:rFonts w:ascii="Calibri" w:eastAsia="Calibri" w:hAnsi="Calibri" w:cs="Calibri"/>
          <w:lang w:bidi="en-US"/>
        </w:rPr>
        <w:t>The protocol</w:t>
      </w:r>
      <w:r w:rsidR="00DB22FE">
        <w:rPr>
          <w:rFonts w:ascii="Calibri" w:eastAsia="Calibri" w:hAnsi="Calibri" w:cs="Calibri"/>
          <w:lang w:bidi="en-US"/>
        </w:rPr>
        <w:t xml:space="preserve"> </w:t>
      </w:r>
      <w:r w:rsidRPr="00541A2B">
        <w:rPr>
          <w:rFonts w:ascii="Calibri" w:eastAsia="Calibri" w:hAnsi="Calibri" w:cs="Calibri"/>
          <w:lang w:bidi="en-US"/>
        </w:rPr>
        <w:t>team may want to conside</w:t>
      </w:r>
      <w:r w:rsidR="009230E4">
        <w:rPr>
          <w:rFonts w:ascii="Calibri" w:eastAsia="Calibri" w:hAnsi="Calibri" w:cs="Calibri"/>
          <w:lang w:bidi="en-US"/>
        </w:rPr>
        <w:t>r whether</w:t>
      </w:r>
      <w:r w:rsidRPr="00541A2B">
        <w:rPr>
          <w:rFonts w:ascii="Calibri" w:eastAsia="Calibri" w:hAnsi="Calibri" w:cs="Calibri"/>
          <w:lang w:bidi="en-US"/>
        </w:rPr>
        <w:t xml:space="preserve"> a question about sexual orientation is needed</w:t>
      </w:r>
      <w:r w:rsidR="00827461">
        <w:rPr>
          <w:rFonts w:ascii="Calibri" w:eastAsia="Calibri" w:hAnsi="Calibri" w:cs="Calibri"/>
          <w:lang w:bidi="en-US"/>
        </w:rPr>
        <w:t xml:space="preserve">. They may want to discuss if and how the </w:t>
      </w:r>
      <w:r>
        <w:rPr>
          <w:rFonts w:ascii="Calibri" w:eastAsia="Calibri" w:hAnsi="Calibri" w:cs="Calibri"/>
          <w:lang w:bidi="en-US"/>
        </w:rPr>
        <w:t xml:space="preserve">information </w:t>
      </w:r>
      <w:r w:rsidR="00827461">
        <w:rPr>
          <w:rFonts w:ascii="Calibri" w:eastAsia="Calibri" w:hAnsi="Calibri" w:cs="Calibri"/>
          <w:lang w:bidi="en-US"/>
        </w:rPr>
        <w:t>garnered will be used in</w:t>
      </w:r>
      <w:r w:rsidRPr="00541A2B">
        <w:rPr>
          <w:rFonts w:ascii="Calibri" w:eastAsia="Calibri" w:hAnsi="Calibri" w:cs="Calibri"/>
          <w:lang w:bidi="en-US"/>
        </w:rPr>
        <w:t xml:space="preserve"> analyses, and/or if information about sexual behavior </w:t>
      </w:r>
      <w:r w:rsidR="00DB22FE">
        <w:rPr>
          <w:rFonts w:ascii="Calibri" w:eastAsia="Calibri" w:hAnsi="Calibri" w:cs="Calibri"/>
          <w:lang w:bidi="en-US"/>
        </w:rPr>
        <w:t xml:space="preserve">is </w:t>
      </w:r>
      <w:r w:rsidRPr="00541A2B">
        <w:rPr>
          <w:rFonts w:ascii="Calibri" w:eastAsia="Calibri" w:hAnsi="Calibri" w:cs="Calibri"/>
          <w:lang w:bidi="en-US"/>
        </w:rPr>
        <w:t xml:space="preserve">more relevant </w:t>
      </w:r>
      <w:r w:rsidR="00827461">
        <w:rPr>
          <w:rFonts w:ascii="Calibri" w:eastAsia="Calibri" w:hAnsi="Calibri" w:cs="Calibri"/>
          <w:lang w:bidi="en-US"/>
        </w:rPr>
        <w:t xml:space="preserve">and </w:t>
      </w:r>
      <w:r w:rsidR="00DB22FE">
        <w:rPr>
          <w:rFonts w:ascii="Calibri" w:eastAsia="Calibri" w:hAnsi="Calibri" w:cs="Calibri"/>
          <w:lang w:bidi="en-US"/>
        </w:rPr>
        <w:t xml:space="preserve">will already be </w:t>
      </w:r>
      <w:r w:rsidR="00827461">
        <w:rPr>
          <w:rFonts w:ascii="Calibri" w:eastAsia="Calibri" w:hAnsi="Calibri" w:cs="Calibri"/>
          <w:lang w:bidi="en-US"/>
        </w:rPr>
        <w:t>obtained through</w:t>
      </w:r>
      <w:r w:rsidRPr="00541A2B">
        <w:rPr>
          <w:rFonts w:ascii="Calibri" w:eastAsia="Calibri" w:hAnsi="Calibri" w:cs="Calibri"/>
          <w:lang w:bidi="en-US"/>
        </w:rPr>
        <w:t xml:space="preserve"> behavioral assessment tools. </w:t>
      </w:r>
      <w:r w:rsidR="007273D4">
        <w:rPr>
          <w:rFonts w:ascii="Calibri" w:eastAsia="Calibri" w:hAnsi="Calibri" w:cs="Calibri"/>
          <w:color w:val="00B050"/>
        </w:rPr>
        <w:t> </w:t>
      </w:r>
    </w:p>
    <w:p w14:paraId="5C1F19CF" w14:textId="310A48E8" w:rsidR="009230E4" w:rsidRDefault="00827461" w:rsidP="007D2471">
      <w:pPr>
        <w:rPr>
          <w:rFonts w:ascii="Calibri" w:eastAsia="Calibri" w:hAnsi="Calibri" w:cs="Times New Roman"/>
        </w:rPr>
      </w:pPr>
      <w:bookmarkStart w:id="1" w:name="_Hlk34311899"/>
      <w:r w:rsidRPr="00253FDC">
        <w:rPr>
          <w:rFonts w:ascii="Calibri" w:eastAsia="Calibri" w:hAnsi="Calibri" w:cs="Times New Roman"/>
        </w:rPr>
        <w:t>If a question about sexual orientation is included</w:t>
      </w:r>
      <w:r w:rsidR="007D2471" w:rsidRPr="00253FDC">
        <w:rPr>
          <w:rFonts w:ascii="Calibri" w:eastAsia="Calibri" w:hAnsi="Calibri" w:cs="Times New Roman"/>
        </w:rPr>
        <w:t xml:space="preserve">, the CNTWG recommends the categories below be </w:t>
      </w:r>
      <w:r w:rsidR="009C232A" w:rsidRPr="00253FDC">
        <w:rPr>
          <w:rFonts w:ascii="Calibri" w:eastAsia="Calibri" w:hAnsi="Calibri" w:cs="Times New Roman"/>
        </w:rPr>
        <w:t>used.</w:t>
      </w:r>
      <w:r w:rsidR="007D2471" w:rsidRPr="00253FDC">
        <w:rPr>
          <w:rFonts w:ascii="Calibri" w:eastAsia="Calibri" w:hAnsi="Calibri" w:cs="Times New Roman"/>
        </w:rPr>
        <w:t xml:space="preserve"> They are listed in alphabetical order so as not to suggest any hierarchy. The CNTWG also suggests t</w:t>
      </w:r>
      <w:r w:rsidRPr="00253FDC">
        <w:rPr>
          <w:rFonts w:ascii="Calibri" w:eastAsia="Calibri" w:hAnsi="Calibri" w:cs="Times New Roman"/>
        </w:rPr>
        <w:t>hat a list of definitions</w:t>
      </w:r>
      <w:r w:rsidR="007D2471" w:rsidRPr="00253FDC">
        <w:rPr>
          <w:rFonts w:ascii="Calibri" w:eastAsia="Calibri" w:hAnsi="Calibri" w:cs="Times New Roman"/>
        </w:rPr>
        <w:t xml:space="preserve"> be given to staff who are administering the collection of demographic data as they may be unfamiliar with some of these terms. </w:t>
      </w:r>
      <w:r w:rsidRPr="00253FDC">
        <w:rPr>
          <w:rFonts w:ascii="Calibri" w:eastAsia="Calibri" w:hAnsi="Calibri" w:cs="Times New Roman"/>
        </w:rPr>
        <w:t>(See Appendix 1</w:t>
      </w:r>
      <w:r w:rsidR="00DB22FE" w:rsidRPr="00253FDC">
        <w:rPr>
          <w:rFonts w:ascii="Calibri" w:eastAsia="Calibri" w:hAnsi="Calibri" w:cs="Times New Roman"/>
        </w:rPr>
        <w:t>.</w:t>
      </w:r>
      <w:r w:rsidRPr="00253FDC">
        <w:rPr>
          <w:rFonts w:ascii="Calibri" w:eastAsia="Calibri" w:hAnsi="Calibri" w:cs="Times New Roman"/>
        </w:rPr>
        <w:t xml:space="preserve">) </w:t>
      </w:r>
      <w:r w:rsidR="007D2471" w:rsidRPr="00253FDC">
        <w:rPr>
          <w:rFonts w:ascii="Calibri" w:eastAsia="Calibri" w:hAnsi="Calibri" w:cs="Times New Roman"/>
        </w:rPr>
        <w:t>If the question is being asked in a survey/questionnaire format</w:t>
      </w:r>
      <w:r w:rsidR="00DB22FE" w:rsidRPr="00253FDC">
        <w:rPr>
          <w:rFonts w:ascii="Calibri" w:eastAsia="Calibri" w:hAnsi="Calibri" w:cs="Times New Roman"/>
        </w:rPr>
        <w:t>,</w:t>
      </w:r>
      <w:r w:rsidR="007D2471" w:rsidRPr="00253FDC">
        <w:rPr>
          <w:rFonts w:ascii="Calibri" w:eastAsia="Calibri" w:hAnsi="Calibri" w:cs="Times New Roman"/>
        </w:rPr>
        <w:t xml:space="preserve"> the definitions can be included next to the question. </w:t>
      </w:r>
    </w:p>
    <w:p w14:paraId="729BBF60" w14:textId="77777777" w:rsidR="009230E4" w:rsidRPr="00253FDC" w:rsidRDefault="009230E4" w:rsidP="007D2471">
      <w:pPr>
        <w:rPr>
          <w:rFonts w:ascii="Calibri" w:eastAsia="Calibri" w:hAnsi="Calibri" w:cs="Times New Roman"/>
        </w:rPr>
      </w:pPr>
    </w:p>
    <w:p w14:paraId="1C377DBB" w14:textId="77777777" w:rsidR="00F531AF" w:rsidRDefault="00607118" w:rsidP="00F531AF">
      <w:pPr>
        <w:pStyle w:val="ListParagraph"/>
        <w:numPr>
          <w:ilvl w:val="0"/>
          <w:numId w:val="9"/>
        </w:numPr>
        <w:rPr>
          <w:rFonts w:ascii="Calibri" w:eastAsia="Calibri" w:hAnsi="Calibri" w:cs="Times New Roman"/>
          <w:vertAlign w:val="superscript"/>
        </w:rPr>
      </w:pPr>
      <w:r w:rsidRPr="00253FDC">
        <w:rPr>
          <w:rFonts w:ascii="Calibri" w:eastAsia="Calibri" w:hAnsi="Calibri" w:cs="Times New Roman"/>
        </w:rPr>
        <w:t xml:space="preserve">What is your sexual orientation (mark </w:t>
      </w:r>
      <w:r w:rsidR="0068053F" w:rsidRPr="00253FDC">
        <w:rPr>
          <w:rFonts w:ascii="Calibri" w:eastAsia="Calibri" w:hAnsi="Calibri" w:cs="Times New Roman"/>
        </w:rPr>
        <w:t>all that apply</w:t>
      </w:r>
      <w:r w:rsidRPr="00253FDC">
        <w:rPr>
          <w:rFonts w:ascii="Calibri" w:eastAsia="Calibri" w:hAnsi="Calibri" w:cs="Times New Roman"/>
        </w:rPr>
        <w:t>)?</w:t>
      </w:r>
      <w:r w:rsidR="000D1D2C" w:rsidRPr="00253FDC">
        <w:rPr>
          <w:rFonts w:ascii="Calibri" w:eastAsia="Calibri" w:hAnsi="Calibri" w:cs="Times New Roman"/>
          <w:vertAlign w:val="superscript"/>
        </w:rPr>
        <w:t>6</w:t>
      </w:r>
    </w:p>
    <w:p w14:paraId="53D1E308" w14:textId="65237474" w:rsidR="00541A2B" w:rsidRPr="00F531AF" w:rsidRDefault="00541A2B" w:rsidP="00F531AF">
      <w:pPr>
        <w:pStyle w:val="ListParagraph"/>
        <w:ind w:left="540"/>
        <w:rPr>
          <w:rFonts w:ascii="Calibri" w:eastAsia="Calibri" w:hAnsi="Calibri" w:cs="Times New Roman"/>
          <w:vertAlign w:val="superscript"/>
        </w:rPr>
      </w:pPr>
      <w:r w:rsidRPr="00F531AF">
        <w:rPr>
          <w:rFonts w:ascii="Calibri" w:eastAsia="Calibri" w:hAnsi="Calibri" w:cs="Times New Roman"/>
          <w:i/>
        </w:rPr>
        <w:t>Note to staff:</w:t>
      </w:r>
      <w:r w:rsidRPr="00F531AF">
        <w:rPr>
          <w:rFonts w:ascii="Calibri" w:eastAsia="Calibri" w:hAnsi="Calibri" w:cs="Times New Roman"/>
        </w:rPr>
        <w:t xml:space="preserve"> </w:t>
      </w:r>
      <w:r w:rsidRPr="00F531AF">
        <w:rPr>
          <w:rFonts w:ascii="Calibri" w:eastAsia="Calibri" w:hAnsi="Calibri" w:cs="Times New Roman"/>
          <w:i/>
        </w:rPr>
        <w:t>The response is participant driven. Please mark all the categories indicated by the participant.</w:t>
      </w:r>
    </w:p>
    <w:p w14:paraId="4F61A035" w14:textId="77777777" w:rsidR="00AD0FB0" w:rsidRPr="00541A2B" w:rsidRDefault="00AD0FB0" w:rsidP="00AD0FB0">
      <w:pPr>
        <w:numPr>
          <w:ilvl w:val="0"/>
          <w:numId w:val="3"/>
        </w:numPr>
        <w:contextualSpacing/>
        <w:rPr>
          <w:rFonts w:ascii="Calibri" w:eastAsia="Calibri" w:hAnsi="Calibri" w:cs="Times New Roman"/>
        </w:rPr>
      </w:pPr>
      <w:r w:rsidRPr="00541A2B">
        <w:rPr>
          <w:rFonts w:ascii="Calibri" w:eastAsia="Calibri" w:hAnsi="Calibri" w:cs="Times New Roman"/>
        </w:rPr>
        <w:t>Bisexual</w:t>
      </w:r>
    </w:p>
    <w:p w14:paraId="2D20F337" w14:textId="77777777" w:rsidR="009A6C8C" w:rsidRPr="00541A2B" w:rsidRDefault="00607118" w:rsidP="00607118">
      <w:pPr>
        <w:numPr>
          <w:ilvl w:val="0"/>
          <w:numId w:val="3"/>
        </w:numPr>
        <w:contextualSpacing/>
        <w:rPr>
          <w:rFonts w:ascii="Calibri" w:eastAsia="Calibri" w:hAnsi="Calibri" w:cs="Times New Roman"/>
        </w:rPr>
      </w:pPr>
      <w:r w:rsidRPr="00541A2B">
        <w:rPr>
          <w:rFonts w:ascii="Calibri" w:eastAsia="Calibri" w:hAnsi="Calibri" w:cs="Times New Roman"/>
        </w:rPr>
        <w:t>Gay/Lesbian/Homosexual</w:t>
      </w:r>
      <w:r w:rsidR="0068053F" w:rsidRPr="00541A2B">
        <w:rPr>
          <w:rFonts w:ascii="Calibri" w:eastAsia="Calibri" w:hAnsi="Calibri" w:cs="Times New Roman"/>
        </w:rPr>
        <w:t>/Same-Gender Loving</w:t>
      </w:r>
    </w:p>
    <w:p w14:paraId="54E2C411" w14:textId="31B11766" w:rsidR="00607118" w:rsidRPr="00541A2B" w:rsidRDefault="009A6C8C" w:rsidP="00607118">
      <w:pPr>
        <w:numPr>
          <w:ilvl w:val="0"/>
          <w:numId w:val="3"/>
        </w:numPr>
        <w:contextualSpacing/>
        <w:rPr>
          <w:rFonts w:ascii="Calibri" w:eastAsia="Calibri" w:hAnsi="Calibri" w:cs="Times New Roman"/>
        </w:rPr>
      </w:pPr>
      <w:r w:rsidRPr="00541A2B">
        <w:rPr>
          <w:rFonts w:ascii="Calibri" w:eastAsia="Calibri" w:hAnsi="Calibri" w:cs="Times New Roman"/>
        </w:rPr>
        <w:t>Pansexual</w:t>
      </w:r>
    </w:p>
    <w:p w14:paraId="07E50D6F" w14:textId="77777777" w:rsidR="00607118" w:rsidRPr="00541A2B" w:rsidRDefault="00607118" w:rsidP="00607118">
      <w:pPr>
        <w:numPr>
          <w:ilvl w:val="0"/>
          <w:numId w:val="3"/>
        </w:numPr>
        <w:contextualSpacing/>
        <w:rPr>
          <w:rFonts w:ascii="Calibri" w:eastAsia="Calibri" w:hAnsi="Calibri" w:cs="Times New Roman"/>
        </w:rPr>
      </w:pPr>
      <w:r w:rsidRPr="00541A2B">
        <w:rPr>
          <w:rFonts w:ascii="Calibri" w:eastAsia="Calibri" w:hAnsi="Calibri" w:cs="Times New Roman"/>
        </w:rPr>
        <w:t>Queer</w:t>
      </w:r>
    </w:p>
    <w:p w14:paraId="61F52DE0" w14:textId="77777777" w:rsidR="00014DA8" w:rsidRPr="00541A2B" w:rsidRDefault="00014DA8" w:rsidP="00014DA8">
      <w:pPr>
        <w:numPr>
          <w:ilvl w:val="0"/>
          <w:numId w:val="3"/>
        </w:numPr>
        <w:contextualSpacing/>
        <w:rPr>
          <w:rFonts w:ascii="Calibri" w:eastAsia="Calibri" w:hAnsi="Calibri" w:cs="Times New Roman"/>
        </w:rPr>
      </w:pPr>
      <w:r w:rsidRPr="00541A2B">
        <w:rPr>
          <w:rFonts w:ascii="Calibri" w:eastAsia="Calibri" w:hAnsi="Calibri" w:cs="Times New Roman"/>
        </w:rPr>
        <w:t>Straight/Heterosexual</w:t>
      </w:r>
    </w:p>
    <w:p w14:paraId="79411744" w14:textId="77777777" w:rsidR="00607118" w:rsidRPr="00541A2B" w:rsidRDefault="00607118" w:rsidP="00607118">
      <w:pPr>
        <w:numPr>
          <w:ilvl w:val="0"/>
          <w:numId w:val="3"/>
        </w:numPr>
        <w:contextualSpacing/>
        <w:rPr>
          <w:rFonts w:ascii="Calibri" w:eastAsia="Calibri" w:hAnsi="Calibri" w:cs="Times New Roman"/>
        </w:rPr>
      </w:pPr>
      <w:r w:rsidRPr="00541A2B">
        <w:rPr>
          <w:rFonts w:ascii="Calibri" w:eastAsia="Calibri" w:hAnsi="Calibri" w:cs="Times New Roman"/>
        </w:rPr>
        <w:t>Two-Spirit</w:t>
      </w:r>
    </w:p>
    <w:p w14:paraId="4ADE428D" w14:textId="77777777" w:rsidR="00607118" w:rsidRPr="00607118" w:rsidRDefault="00607118" w:rsidP="00607118">
      <w:pPr>
        <w:numPr>
          <w:ilvl w:val="0"/>
          <w:numId w:val="3"/>
        </w:numPr>
        <w:contextualSpacing/>
        <w:rPr>
          <w:rFonts w:ascii="Calibri" w:eastAsia="Calibri" w:hAnsi="Calibri" w:cs="Times New Roman"/>
        </w:rPr>
      </w:pPr>
      <w:r w:rsidRPr="00607118">
        <w:rPr>
          <w:rFonts w:ascii="Calibri" w:eastAsia="Calibri" w:hAnsi="Calibri" w:cs="Times New Roman"/>
        </w:rPr>
        <w:t>Additional Category, Please Specify _______________________________</w:t>
      </w:r>
    </w:p>
    <w:p w14:paraId="4BABF463" w14:textId="77777777" w:rsidR="00607118" w:rsidRPr="00607118" w:rsidRDefault="00607118" w:rsidP="00607118">
      <w:pPr>
        <w:numPr>
          <w:ilvl w:val="0"/>
          <w:numId w:val="3"/>
        </w:numPr>
        <w:contextualSpacing/>
        <w:rPr>
          <w:rFonts w:ascii="Calibri" w:eastAsia="Calibri" w:hAnsi="Calibri" w:cs="Times New Roman"/>
        </w:rPr>
      </w:pPr>
      <w:r w:rsidRPr="00607118">
        <w:rPr>
          <w:rFonts w:ascii="Calibri" w:eastAsia="Calibri" w:hAnsi="Calibri" w:cs="Times New Roman"/>
        </w:rPr>
        <w:t>Not sure</w:t>
      </w:r>
    </w:p>
    <w:p w14:paraId="1ECB59A7" w14:textId="41F5A288" w:rsidR="00607118" w:rsidRDefault="00607118" w:rsidP="00607118">
      <w:pPr>
        <w:numPr>
          <w:ilvl w:val="0"/>
          <w:numId w:val="3"/>
        </w:numPr>
        <w:contextualSpacing/>
        <w:rPr>
          <w:rFonts w:ascii="Calibri" w:eastAsia="Calibri" w:hAnsi="Calibri" w:cs="Times New Roman"/>
        </w:rPr>
      </w:pPr>
      <w:r w:rsidRPr="00607118">
        <w:rPr>
          <w:rFonts w:ascii="Calibri" w:eastAsia="Calibri" w:hAnsi="Calibri" w:cs="Times New Roman"/>
        </w:rPr>
        <w:t>Prefer not to answer</w:t>
      </w:r>
    </w:p>
    <w:p w14:paraId="076913C0" w14:textId="77777777" w:rsidR="007273D4" w:rsidRPr="00607118" w:rsidRDefault="007273D4" w:rsidP="007273D4">
      <w:pPr>
        <w:ind w:left="1080"/>
        <w:contextualSpacing/>
        <w:rPr>
          <w:rFonts w:ascii="Calibri" w:eastAsia="Calibri" w:hAnsi="Calibri" w:cs="Times New Roman"/>
        </w:rPr>
      </w:pPr>
    </w:p>
    <w:p w14:paraId="7CD61A49" w14:textId="3CBB584F" w:rsidR="003D685B" w:rsidRDefault="000D1D2C" w:rsidP="00DD403E">
      <w:pPr>
        <w:rPr>
          <w:rFonts w:ascii="Calibri" w:eastAsia="Calibri" w:hAnsi="Calibri" w:cs="Times New Roman"/>
        </w:rPr>
      </w:pPr>
      <w:r>
        <w:rPr>
          <w:rFonts w:ascii="Calibri" w:eastAsia="Calibri" w:hAnsi="Calibri" w:cs="Times New Roman"/>
          <w:vertAlign w:val="superscript"/>
        </w:rPr>
        <w:t>6</w:t>
      </w:r>
      <w:r w:rsidR="00607118" w:rsidRPr="00607118">
        <w:rPr>
          <w:rFonts w:ascii="Calibri" w:eastAsia="Calibri" w:hAnsi="Calibri" w:cs="Times New Roman"/>
        </w:rPr>
        <w:t>If the participant does not understand the question, read the categories to the participant.</w:t>
      </w:r>
      <w:bookmarkEnd w:id="1"/>
    </w:p>
    <w:p w14:paraId="7133A787" w14:textId="12629AD6" w:rsidR="007273D4" w:rsidRDefault="007273D4">
      <w:pPr>
        <w:rPr>
          <w:rFonts w:ascii="Calibri" w:eastAsia="Calibri" w:hAnsi="Calibri" w:cs="Times New Roman"/>
        </w:rPr>
      </w:pPr>
      <w:r>
        <w:rPr>
          <w:rFonts w:ascii="Calibri" w:eastAsia="Calibri" w:hAnsi="Calibri" w:cs="Times New Roman"/>
        </w:rPr>
        <w:br w:type="page"/>
      </w:r>
    </w:p>
    <w:p w14:paraId="05A93E85" w14:textId="108A09FA" w:rsidR="00DD403E" w:rsidRPr="00DD403E" w:rsidRDefault="00DD403E" w:rsidP="00DD403E">
      <w:pPr>
        <w:rPr>
          <w:rFonts w:ascii="Calibri" w:eastAsia="Calibri" w:hAnsi="Calibri" w:cs="Times New Roman"/>
        </w:rPr>
      </w:pPr>
      <w:r>
        <w:rPr>
          <w:rFonts w:ascii="Calibri" w:eastAsia="Calibri" w:hAnsi="Calibri" w:cs="Times New Roman"/>
        </w:rPr>
        <w:lastRenderedPageBreak/>
        <w:t xml:space="preserve">The chart below provides a visual of the how the two-step method is used. </w:t>
      </w:r>
    </w:p>
    <w:p w14:paraId="48D01A88" w14:textId="77777777" w:rsidR="00DD403E" w:rsidRDefault="00DD403E" w:rsidP="00DD403E">
      <w:pPr>
        <w:widowControl w:val="0"/>
        <w:autoSpaceDE w:val="0"/>
        <w:autoSpaceDN w:val="0"/>
        <w:spacing w:before="11" w:after="0" w:line="240" w:lineRule="auto"/>
        <w:jc w:val="center"/>
        <w:rPr>
          <w:rFonts w:ascii="Calibri" w:eastAsia="Calibri" w:hAnsi="Calibri" w:cs="Calibri"/>
          <w:sz w:val="21"/>
          <w:lang w:bidi="en-US"/>
        </w:rPr>
      </w:pPr>
    </w:p>
    <w:p w14:paraId="176A739E" w14:textId="1743C89B" w:rsidR="00DD403E" w:rsidRPr="009230E4" w:rsidRDefault="00DD403E" w:rsidP="009230E4">
      <w:pPr>
        <w:widowControl w:val="0"/>
        <w:autoSpaceDE w:val="0"/>
        <w:autoSpaceDN w:val="0"/>
        <w:spacing w:before="11" w:after="0" w:line="240" w:lineRule="auto"/>
        <w:rPr>
          <w:rFonts w:ascii="Calibri" w:eastAsia="Calibri" w:hAnsi="Calibri" w:cs="Calibri"/>
          <w:sz w:val="21"/>
          <w:lang w:bidi="en-US"/>
        </w:rPr>
      </w:pPr>
      <w:r w:rsidRPr="00DD403E">
        <w:rPr>
          <w:rFonts w:ascii="Calibri" w:eastAsia="Calibri" w:hAnsi="Calibri" w:cs="Calibri"/>
          <w:noProof/>
          <w:sz w:val="21"/>
        </w:rPr>
        <mc:AlternateContent>
          <mc:Choice Requires="wps">
            <w:drawing>
              <wp:anchor distT="45720" distB="45720" distL="114300" distR="114300" simplePos="0" relativeHeight="251659264" behindDoc="0" locked="0" layoutInCell="1" allowOverlap="1" wp14:anchorId="72D0C415" wp14:editId="6DF60675">
                <wp:simplePos x="0" y="0"/>
                <wp:positionH relativeFrom="margin">
                  <wp:align>left</wp:align>
                </wp:positionH>
                <wp:positionV relativeFrom="paragraph">
                  <wp:posOffset>12065</wp:posOffset>
                </wp:positionV>
                <wp:extent cx="3552825" cy="1404620"/>
                <wp:effectExtent l="19050" t="19050" r="2857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404620"/>
                        </a:xfrm>
                        <a:prstGeom prst="rect">
                          <a:avLst/>
                        </a:prstGeom>
                        <a:solidFill>
                          <a:srgbClr val="FFFFFF"/>
                        </a:solidFill>
                        <a:ln w="28575">
                          <a:solidFill>
                            <a:srgbClr val="000000"/>
                          </a:solidFill>
                          <a:miter lim="800000"/>
                          <a:headEnd/>
                          <a:tailEnd/>
                        </a:ln>
                      </wps:spPr>
                      <wps:txbx>
                        <w:txbxContent>
                          <w:p w14:paraId="15D4F67F" w14:textId="77777777" w:rsidR="009D4507" w:rsidRPr="00DD403E" w:rsidRDefault="009D4507" w:rsidP="00DD403E">
                            <w:pPr>
                              <w:pStyle w:val="ListParagraph"/>
                              <w:numPr>
                                <w:ilvl w:val="0"/>
                                <w:numId w:val="4"/>
                              </w:numPr>
                              <w:rPr>
                                <w:b/>
                                <w:bCs/>
                              </w:rPr>
                            </w:pPr>
                            <w:r w:rsidRPr="00DD403E">
                              <w:rPr>
                                <w:b/>
                                <w:bCs/>
                              </w:rPr>
                              <w:t>What is your current gender identity?</w:t>
                            </w:r>
                          </w:p>
                          <w:p w14:paraId="7F119CC7" w14:textId="77777777" w:rsidR="009D4507" w:rsidRDefault="009D4507" w:rsidP="00DD403E">
                            <w:pPr>
                              <w:pStyle w:val="ListParagraph"/>
                              <w:numPr>
                                <w:ilvl w:val="0"/>
                                <w:numId w:val="5"/>
                              </w:numPr>
                            </w:pPr>
                            <w:r>
                              <w:t>Cisgender Man</w:t>
                            </w:r>
                          </w:p>
                          <w:p w14:paraId="71559D1D" w14:textId="77777777" w:rsidR="009D4507" w:rsidRDefault="009D4507" w:rsidP="00DD403E">
                            <w:pPr>
                              <w:pStyle w:val="ListParagraph"/>
                              <w:numPr>
                                <w:ilvl w:val="0"/>
                                <w:numId w:val="5"/>
                              </w:numPr>
                            </w:pPr>
                            <w:r>
                              <w:t>Cisgender Woman</w:t>
                            </w:r>
                          </w:p>
                          <w:p w14:paraId="260122FB" w14:textId="1193E219" w:rsidR="009D4507" w:rsidRDefault="009D4507" w:rsidP="00DD403E">
                            <w:pPr>
                              <w:pStyle w:val="ListParagraph"/>
                              <w:numPr>
                                <w:ilvl w:val="0"/>
                                <w:numId w:val="5"/>
                              </w:numPr>
                            </w:pPr>
                            <w:r>
                              <w:t>Genderqueer</w:t>
                            </w:r>
                          </w:p>
                          <w:p w14:paraId="14A7BD8B" w14:textId="2D13AA34" w:rsidR="009D4507" w:rsidRPr="00541A2B" w:rsidRDefault="009D4507" w:rsidP="00DD403E">
                            <w:pPr>
                              <w:pStyle w:val="ListParagraph"/>
                              <w:numPr>
                                <w:ilvl w:val="0"/>
                                <w:numId w:val="5"/>
                              </w:numPr>
                            </w:pPr>
                            <w:r w:rsidRPr="00541A2B">
                              <w:t>Gender Non-binary</w:t>
                            </w:r>
                          </w:p>
                          <w:p w14:paraId="178B62F0" w14:textId="77777777" w:rsidR="009D4507" w:rsidRPr="00541A2B" w:rsidRDefault="009D4507" w:rsidP="00DD403E">
                            <w:pPr>
                              <w:pStyle w:val="ListParagraph"/>
                              <w:numPr>
                                <w:ilvl w:val="0"/>
                                <w:numId w:val="5"/>
                              </w:numPr>
                            </w:pPr>
                            <w:r w:rsidRPr="00541A2B">
                              <w:t xml:space="preserve">Gender Non-conforming </w:t>
                            </w:r>
                          </w:p>
                          <w:p w14:paraId="021F467B" w14:textId="6AB4075D" w:rsidR="009D4507" w:rsidRPr="00541A2B" w:rsidRDefault="009D4507" w:rsidP="00DD403E">
                            <w:pPr>
                              <w:pStyle w:val="ListParagraph"/>
                              <w:numPr>
                                <w:ilvl w:val="0"/>
                                <w:numId w:val="5"/>
                              </w:numPr>
                            </w:pPr>
                            <w:r w:rsidRPr="00541A2B">
                              <w:t>Man</w:t>
                            </w:r>
                          </w:p>
                          <w:p w14:paraId="04DF8D04" w14:textId="77777777" w:rsidR="009D4507" w:rsidRPr="00541A2B" w:rsidRDefault="009D4507" w:rsidP="00DD403E">
                            <w:pPr>
                              <w:pStyle w:val="ListParagraph"/>
                              <w:numPr>
                                <w:ilvl w:val="0"/>
                                <w:numId w:val="5"/>
                              </w:numPr>
                            </w:pPr>
                            <w:r w:rsidRPr="00541A2B">
                              <w:t>Transgender Man/Trans Man</w:t>
                            </w:r>
                          </w:p>
                          <w:p w14:paraId="0F318C01" w14:textId="72327BFE" w:rsidR="009D4507" w:rsidRPr="00541A2B" w:rsidRDefault="009D4507" w:rsidP="00DD403E">
                            <w:pPr>
                              <w:pStyle w:val="ListParagraph"/>
                              <w:numPr>
                                <w:ilvl w:val="0"/>
                                <w:numId w:val="5"/>
                              </w:numPr>
                            </w:pPr>
                            <w:r w:rsidRPr="00541A2B">
                              <w:t>Transgender Woman/Trans Woman</w:t>
                            </w:r>
                          </w:p>
                          <w:p w14:paraId="15CBB990" w14:textId="38EBE06D" w:rsidR="009D4507" w:rsidRPr="00541A2B" w:rsidRDefault="009D4507" w:rsidP="00DD403E">
                            <w:pPr>
                              <w:pStyle w:val="ListParagraph"/>
                              <w:numPr>
                                <w:ilvl w:val="0"/>
                                <w:numId w:val="5"/>
                              </w:numPr>
                            </w:pPr>
                            <w:r w:rsidRPr="00541A2B">
                              <w:t>Two-Spirit</w:t>
                            </w:r>
                          </w:p>
                          <w:p w14:paraId="382ED059" w14:textId="2EAEB4BB" w:rsidR="009D4507" w:rsidRPr="00541A2B" w:rsidRDefault="009D4507" w:rsidP="00DD403E">
                            <w:pPr>
                              <w:pStyle w:val="ListParagraph"/>
                              <w:numPr>
                                <w:ilvl w:val="0"/>
                                <w:numId w:val="5"/>
                              </w:numPr>
                            </w:pPr>
                            <w:r w:rsidRPr="00541A2B">
                              <w:t>Woman</w:t>
                            </w:r>
                          </w:p>
                          <w:p w14:paraId="7AD4B9A6" w14:textId="72FF4432" w:rsidR="009D4507" w:rsidRDefault="009D4507" w:rsidP="00DD403E">
                            <w:pPr>
                              <w:pStyle w:val="ListParagraph"/>
                              <w:numPr>
                                <w:ilvl w:val="0"/>
                                <w:numId w:val="5"/>
                              </w:numPr>
                            </w:pPr>
                            <w:r>
                              <w:t>Additional Category, Please Specify__________________________</w:t>
                            </w:r>
                          </w:p>
                          <w:p w14:paraId="4DE30835" w14:textId="77777777" w:rsidR="009D4507" w:rsidRDefault="009D4507" w:rsidP="00DD403E">
                            <w:pPr>
                              <w:pStyle w:val="ListParagraph"/>
                              <w:numPr>
                                <w:ilvl w:val="0"/>
                                <w:numId w:val="5"/>
                              </w:numPr>
                            </w:pPr>
                            <w:r>
                              <w:t>Decline to Answer</w:t>
                            </w:r>
                          </w:p>
                          <w:p w14:paraId="19BEB4E5" w14:textId="77777777" w:rsidR="009D4507" w:rsidRPr="00DD403E" w:rsidRDefault="009D4507" w:rsidP="00DD403E">
                            <w:pPr>
                              <w:pStyle w:val="ListParagraph"/>
                              <w:numPr>
                                <w:ilvl w:val="0"/>
                                <w:numId w:val="4"/>
                              </w:numPr>
                              <w:rPr>
                                <w:b/>
                                <w:bCs/>
                              </w:rPr>
                            </w:pPr>
                            <w:r w:rsidRPr="00DD403E">
                              <w:rPr>
                                <w:b/>
                                <w:bCs/>
                              </w:rPr>
                              <w:t>What was your sex assigned at birth?</w:t>
                            </w:r>
                          </w:p>
                          <w:p w14:paraId="442E6E49" w14:textId="77777777" w:rsidR="009D4507" w:rsidRDefault="009D4507" w:rsidP="00DD403E">
                            <w:pPr>
                              <w:pStyle w:val="ListParagraph"/>
                              <w:numPr>
                                <w:ilvl w:val="0"/>
                                <w:numId w:val="5"/>
                              </w:numPr>
                            </w:pPr>
                            <w:r>
                              <w:t>Female</w:t>
                            </w:r>
                          </w:p>
                          <w:p w14:paraId="4449D018" w14:textId="77777777" w:rsidR="009D4507" w:rsidRDefault="009D4507" w:rsidP="00DD403E">
                            <w:pPr>
                              <w:pStyle w:val="ListParagraph"/>
                              <w:numPr>
                                <w:ilvl w:val="0"/>
                                <w:numId w:val="5"/>
                              </w:numPr>
                            </w:pPr>
                            <w:r>
                              <w:t>Male</w:t>
                            </w:r>
                          </w:p>
                          <w:p w14:paraId="5EC0FFEF" w14:textId="77777777" w:rsidR="009D4507" w:rsidRDefault="009D4507" w:rsidP="00DD403E">
                            <w:pPr>
                              <w:pStyle w:val="ListParagraph"/>
                              <w:numPr>
                                <w:ilvl w:val="0"/>
                                <w:numId w:val="5"/>
                              </w:numPr>
                            </w:pPr>
                            <w:r>
                              <w:t>Intersex</w:t>
                            </w:r>
                          </w:p>
                          <w:p w14:paraId="2D275E26" w14:textId="77777777" w:rsidR="009D4507" w:rsidRDefault="009D4507" w:rsidP="00DD403E">
                            <w:pPr>
                              <w:pStyle w:val="ListParagraph"/>
                              <w:numPr>
                                <w:ilvl w:val="0"/>
                                <w:numId w:val="5"/>
                              </w:numPr>
                            </w:pPr>
                            <w:r>
                              <w:t>Decline to answer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D0C415" id="_x0000_t202" coordsize="21600,21600" o:spt="202" path="m,l,21600r21600,l21600,xe">
                <v:stroke joinstyle="miter"/>
                <v:path gradientshapeok="t" o:connecttype="rect"/>
              </v:shapetype>
              <v:shape id="Text Box 2" o:spid="_x0000_s1026" type="#_x0000_t202" style="position:absolute;margin-left:0;margin-top:.95pt;width:279.7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" strokeweight="2.25pt">
                <v:textbox style="mso-fit-shape-to-text:t">
                  <w:txbxContent>
                    <w:p w14:paraId="15D4F67F" w14:textId="77777777" w:rsidR="009D4507" w:rsidRPr="00DD403E" w:rsidRDefault="009D4507" w:rsidP="00DD403E">
                      <w:pPr>
                        <w:pStyle w:val="ListParagraph"/>
                        <w:numPr>
                          <w:ilvl w:val="0"/>
                          <w:numId w:val="4"/>
                        </w:numPr>
                        <w:rPr>
                          <w:b/>
                          <w:bCs/>
                        </w:rPr>
                      </w:pPr>
                      <w:r w:rsidRPr="00DD403E">
                        <w:rPr>
                          <w:b/>
                          <w:bCs/>
                        </w:rPr>
                        <w:t>What is your current gender identity?</w:t>
                      </w:r>
                    </w:p>
                    <w:p w14:paraId="7F119CC7" w14:textId="77777777" w:rsidR="009D4507" w:rsidRDefault="009D4507" w:rsidP="00DD403E">
                      <w:pPr>
                        <w:pStyle w:val="ListParagraph"/>
                        <w:numPr>
                          <w:ilvl w:val="0"/>
                          <w:numId w:val="5"/>
                        </w:numPr>
                      </w:pPr>
                      <w:r>
                        <w:t>Cisgender Man</w:t>
                      </w:r>
                    </w:p>
                    <w:p w14:paraId="71559D1D" w14:textId="77777777" w:rsidR="009D4507" w:rsidRDefault="009D4507" w:rsidP="00DD403E">
                      <w:pPr>
                        <w:pStyle w:val="ListParagraph"/>
                        <w:numPr>
                          <w:ilvl w:val="0"/>
                          <w:numId w:val="5"/>
                        </w:numPr>
                      </w:pPr>
                      <w:r>
                        <w:t>Cisgender Woman</w:t>
                      </w:r>
                    </w:p>
                    <w:p w14:paraId="260122FB" w14:textId="1193E219" w:rsidR="009D4507" w:rsidRDefault="009D4507" w:rsidP="00DD403E">
                      <w:pPr>
                        <w:pStyle w:val="ListParagraph"/>
                        <w:numPr>
                          <w:ilvl w:val="0"/>
                          <w:numId w:val="5"/>
                        </w:numPr>
                      </w:pPr>
                      <w:r>
                        <w:t>Genderqueer</w:t>
                      </w:r>
                    </w:p>
                    <w:p w14:paraId="14A7BD8B" w14:textId="2D13AA34" w:rsidR="009D4507" w:rsidRPr="00541A2B" w:rsidRDefault="009D4507" w:rsidP="00DD403E">
                      <w:pPr>
                        <w:pStyle w:val="ListParagraph"/>
                        <w:numPr>
                          <w:ilvl w:val="0"/>
                          <w:numId w:val="5"/>
                        </w:numPr>
                      </w:pPr>
                      <w:r w:rsidRPr="00541A2B">
                        <w:t>Gender Non-binary</w:t>
                      </w:r>
                    </w:p>
                    <w:p w14:paraId="178B62F0" w14:textId="77777777" w:rsidR="009D4507" w:rsidRPr="00541A2B" w:rsidRDefault="009D4507" w:rsidP="00DD403E">
                      <w:pPr>
                        <w:pStyle w:val="ListParagraph"/>
                        <w:numPr>
                          <w:ilvl w:val="0"/>
                          <w:numId w:val="5"/>
                        </w:numPr>
                      </w:pPr>
                      <w:r w:rsidRPr="00541A2B">
                        <w:t xml:space="preserve">Gender Non-conforming </w:t>
                      </w:r>
                    </w:p>
                    <w:p w14:paraId="021F467B" w14:textId="6AB4075D" w:rsidR="009D4507" w:rsidRPr="00541A2B" w:rsidRDefault="009D4507" w:rsidP="00DD403E">
                      <w:pPr>
                        <w:pStyle w:val="ListParagraph"/>
                        <w:numPr>
                          <w:ilvl w:val="0"/>
                          <w:numId w:val="5"/>
                        </w:numPr>
                      </w:pPr>
                      <w:r w:rsidRPr="00541A2B">
                        <w:t>Man</w:t>
                      </w:r>
                    </w:p>
                    <w:p w14:paraId="04DF8D04" w14:textId="77777777" w:rsidR="009D4507" w:rsidRPr="00541A2B" w:rsidRDefault="009D4507" w:rsidP="00DD403E">
                      <w:pPr>
                        <w:pStyle w:val="ListParagraph"/>
                        <w:numPr>
                          <w:ilvl w:val="0"/>
                          <w:numId w:val="5"/>
                        </w:numPr>
                      </w:pPr>
                      <w:r w:rsidRPr="00541A2B">
                        <w:t>Transgender Man/Trans Man</w:t>
                      </w:r>
                    </w:p>
                    <w:p w14:paraId="0F318C01" w14:textId="72327BFE" w:rsidR="009D4507" w:rsidRPr="00541A2B" w:rsidRDefault="009D4507" w:rsidP="00DD403E">
                      <w:pPr>
                        <w:pStyle w:val="ListParagraph"/>
                        <w:numPr>
                          <w:ilvl w:val="0"/>
                          <w:numId w:val="5"/>
                        </w:numPr>
                      </w:pPr>
                      <w:r w:rsidRPr="00541A2B">
                        <w:t>Transgender Woman/Trans Woman</w:t>
                      </w:r>
                    </w:p>
                    <w:p w14:paraId="15CBB990" w14:textId="38EBE06D" w:rsidR="009D4507" w:rsidRPr="00541A2B" w:rsidRDefault="009D4507" w:rsidP="00DD403E">
                      <w:pPr>
                        <w:pStyle w:val="ListParagraph"/>
                        <w:numPr>
                          <w:ilvl w:val="0"/>
                          <w:numId w:val="5"/>
                        </w:numPr>
                      </w:pPr>
                      <w:r w:rsidRPr="00541A2B">
                        <w:t>Two-Spirit</w:t>
                      </w:r>
                    </w:p>
                    <w:p w14:paraId="382ED059" w14:textId="2EAEB4BB" w:rsidR="009D4507" w:rsidRPr="00541A2B" w:rsidRDefault="009D4507" w:rsidP="00DD403E">
                      <w:pPr>
                        <w:pStyle w:val="ListParagraph"/>
                        <w:numPr>
                          <w:ilvl w:val="0"/>
                          <w:numId w:val="5"/>
                        </w:numPr>
                      </w:pPr>
                      <w:r w:rsidRPr="00541A2B">
                        <w:t>Woman</w:t>
                      </w:r>
                    </w:p>
                    <w:p w14:paraId="7AD4B9A6" w14:textId="72FF4432" w:rsidR="009D4507" w:rsidRDefault="009D4507" w:rsidP="00DD403E">
                      <w:pPr>
                        <w:pStyle w:val="ListParagraph"/>
                        <w:numPr>
                          <w:ilvl w:val="0"/>
                          <w:numId w:val="5"/>
                        </w:numPr>
                      </w:pPr>
                      <w:r>
                        <w:t>Additional Category, Please Specify__________________________</w:t>
                      </w:r>
                    </w:p>
                    <w:p w14:paraId="4DE30835" w14:textId="77777777" w:rsidR="009D4507" w:rsidRDefault="009D4507" w:rsidP="00DD403E">
                      <w:pPr>
                        <w:pStyle w:val="ListParagraph"/>
                        <w:numPr>
                          <w:ilvl w:val="0"/>
                          <w:numId w:val="5"/>
                        </w:numPr>
                      </w:pPr>
                      <w:r>
                        <w:t>Decline to Answer</w:t>
                      </w:r>
                    </w:p>
                    <w:p w14:paraId="19BEB4E5" w14:textId="77777777" w:rsidR="009D4507" w:rsidRPr="00DD403E" w:rsidRDefault="009D4507" w:rsidP="00DD403E">
                      <w:pPr>
                        <w:pStyle w:val="ListParagraph"/>
                        <w:numPr>
                          <w:ilvl w:val="0"/>
                          <w:numId w:val="4"/>
                        </w:numPr>
                        <w:rPr>
                          <w:b/>
                          <w:bCs/>
                        </w:rPr>
                      </w:pPr>
                      <w:r w:rsidRPr="00DD403E">
                        <w:rPr>
                          <w:b/>
                          <w:bCs/>
                        </w:rPr>
                        <w:t>What was your sex assigned at birth?</w:t>
                      </w:r>
                    </w:p>
                    <w:p w14:paraId="442E6E49" w14:textId="77777777" w:rsidR="009D4507" w:rsidRDefault="009D4507" w:rsidP="00DD403E">
                      <w:pPr>
                        <w:pStyle w:val="ListParagraph"/>
                        <w:numPr>
                          <w:ilvl w:val="0"/>
                          <w:numId w:val="5"/>
                        </w:numPr>
                      </w:pPr>
                      <w:r>
                        <w:t>Female</w:t>
                      </w:r>
                    </w:p>
                    <w:p w14:paraId="4449D018" w14:textId="77777777" w:rsidR="009D4507" w:rsidRDefault="009D4507" w:rsidP="00DD403E">
                      <w:pPr>
                        <w:pStyle w:val="ListParagraph"/>
                        <w:numPr>
                          <w:ilvl w:val="0"/>
                          <w:numId w:val="5"/>
                        </w:numPr>
                      </w:pPr>
                      <w:r>
                        <w:t>Male</w:t>
                      </w:r>
                    </w:p>
                    <w:p w14:paraId="5EC0FFEF" w14:textId="77777777" w:rsidR="009D4507" w:rsidRDefault="009D4507" w:rsidP="00DD403E">
                      <w:pPr>
                        <w:pStyle w:val="ListParagraph"/>
                        <w:numPr>
                          <w:ilvl w:val="0"/>
                          <w:numId w:val="5"/>
                        </w:numPr>
                      </w:pPr>
                      <w:r>
                        <w:t>Intersex</w:t>
                      </w:r>
                    </w:p>
                    <w:p w14:paraId="2D275E26" w14:textId="77777777" w:rsidR="009D4507" w:rsidRDefault="009D4507" w:rsidP="00DD403E">
                      <w:pPr>
                        <w:pStyle w:val="ListParagraph"/>
                        <w:numPr>
                          <w:ilvl w:val="0"/>
                          <w:numId w:val="5"/>
                        </w:numPr>
                      </w:pPr>
                      <w:r>
                        <w:t>Decline to answer</w:t>
                      </w:r>
                    </w:p>
                  </w:txbxContent>
                </v:textbox>
                <w10:wrap type="square" anchorx="margin"/>
              </v:shape>
            </w:pict>
          </mc:Fallback>
        </mc:AlternateContent>
      </w:r>
      <w:r w:rsidRPr="00607118">
        <w:rPr>
          <w:rFonts w:ascii="Calibri" w:eastAsia="Calibri" w:hAnsi="Calibri" w:cs="Calibri"/>
          <w:lang w:bidi="en-US"/>
        </w:rPr>
        <w:t>In this example, options are listed alphabetically to avoid the perception of hierarchy. People are given the opportunity to specify their gender identity using a term not listed on the form (the category of “Other” is avoided as it is not anyone’s identity), and they may also decline to answer. Intersex has also been included as an option for sex assigned at birth because official documents recognizing intersex status are becoming more available to intersex people (even in cases where the sex initially assigned at birth was not intersex). Because the question about sex assigned at birth can be problematic for some transgender and gender non-conforming people, it is best to include a “decline to answer” option and also a rationale for asking this question, such as, “some biological processes are impacted by the sex you were assigned at birth, so it is important to record this</w:t>
      </w:r>
      <w:r w:rsidRPr="00607118">
        <w:rPr>
          <w:rFonts w:ascii="Calibri" w:eastAsia="Calibri" w:hAnsi="Calibri" w:cs="Calibri"/>
          <w:spacing w:val="-11"/>
          <w:lang w:bidi="en-US"/>
        </w:rPr>
        <w:t xml:space="preserve"> </w:t>
      </w:r>
      <w:r w:rsidRPr="00607118">
        <w:rPr>
          <w:rFonts w:ascii="Calibri" w:eastAsia="Calibri" w:hAnsi="Calibri" w:cs="Calibri"/>
          <w:lang w:bidi="en-US"/>
        </w:rPr>
        <w:t xml:space="preserve">information.”  The rationale can easily be included with instructions given to staff who are administering the collection of demographic data, or it can be included next to the question if being asked in a survey/questionnaire format. </w:t>
      </w:r>
    </w:p>
    <w:p w14:paraId="1DF44E79" w14:textId="26BC3F55" w:rsidR="000D1D2C" w:rsidRDefault="000D1D2C" w:rsidP="00607118">
      <w:pPr>
        <w:rPr>
          <w:rFonts w:ascii="Calibri" w:eastAsia="Calibri" w:hAnsi="Calibri" w:cs="Times New Roman"/>
          <w:b/>
        </w:rPr>
      </w:pPr>
    </w:p>
    <w:p w14:paraId="23F2901E" w14:textId="0E0CD92D" w:rsidR="00607118" w:rsidRPr="00607118" w:rsidRDefault="00607118" w:rsidP="00607118">
      <w:pPr>
        <w:rPr>
          <w:rFonts w:ascii="Calibri" w:eastAsia="Calibri" w:hAnsi="Calibri" w:cs="Times New Roman"/>
          <w:b/>
        </w:rPr>
      </w:pPr>
      <w:r w:rsidRPr="00607118">
        <w:rPr>
          <w:rFonts w:ascii="Calibri" w:eastAsia="Calibri" w:hAnsi="Calibri" w:cs="Times New Roman"/>
          <w:b/>
        </w:rPr>
        <w:t xml:space="preserve">Other Issues: </w:t>
      </w:r>
    </w:p>
    <w:p w14:paraId="2B8F9D80" w14:textId="145D95CE" w:rsidR="00042B8A" w:rsidRDefault="00607118" w:rsidP="00DD403E">
      <w:pPr>
        <w:rPr>
          <w:rFonts w:ascii="Calibri" w:eastAsia="Calibri" w:hAnsi="Calibri" w:cs="Times New Roman"/>
        </w:rPr>
      </w:pPr>
      <w:r w:rsidRPr="00607118">
        <w:rPr>
          <w:rFonts w:ascii="Calibri" w:eastAsia="Calibri" w:hAnsi="Calibri" w:cs="Times New Roman"/>
        </w:rPr>
        <w:t xml:space="preserve">A person’s gender identity and sexual behavioral risk for HIV are independent from one another. It should not be presumed that just because a </w:t>
      </w:r>
      <w:r w:rsidR="0068053F" w:rsidRPr="00541A2B">
        <w:rPr>
          <w:rFonts w:ascii="Calibri" w:eastAsia="Calibri" w:hAnsi="Calibri" w:cs="Times New Roman"/>
        </w:rPr>
        <w:t xml:space="preserve">particular </w:t>
      </w:r>
      <w:r w:rsidRPr="00541A2B">
        <w:rPr>
          <w:rFonts w:ascii="Calibri" w:eastAsia="Calibri" w:hAnsi="Calibri" w:cs="Times New Roman"/>
        </w:rPr>
        <w:t xml:space="preserve">population of individuals </w:t>
      </w:r>
      <w:r w:rsidR="0068053F" w:rsidRPr="00541A2B">
        <w:rPr>
          <w:rFonts w:ascii="Calibri" w:eastAsia="Calibri" w:hAnsi="Calibri" w:cs="Times New Roman"/>
        </w:rPr>
        <w:t>is</w:t>
      </w:r>
      <w:r w:rsidR="0068053F" w:rsidRPr="00042B8A">
        <w:rPr>
          <w:rFonts w:ascii="Calibri" w:eastAsia="Calibri" w:hAnsi="Calibri" w:cs="Times New Roman"/>
        </w:rPr>
        <w:t xml:space="preserve"> </w:t>
      </w:r>
      <w:r w:rsidR="0068053F" w:rsidRPr="00541A2B">
        <w:rPr>
          <w:rFonts w:ascii="Calibri" w:eastAsia="Calibri" w:hAnsi="Calibri" w:cs="Times New Roman"/>
        </w:rPr>
        <w:t>statistically</w:t>
      </w:r>
      <w:r w:rsidR="0068053F" w:rsidRPr="00A233B8">
        <w:rPr>
          <w:rFonts w:ascii="Calibri" w:eastAsia="Calibri" w:hAnsi="Calibri" w:cs="Times New Roman"/>
        </w:rPr>
        <w:t xml:space="preserve"> more </w:t>
      </w:r>
      <w:r w:rsidR="0068053F" w:rsidRPr="00042B8A">
        <w:rPr>
          <w:rFonts w:ascii="Calibri" w:eastAsia="Calibri" w:hAnsi="Calibri" w:cs="Times New Roman"/>
        </w:rPr>
        <w:t>vulnerable to</w:t>
      </w:r>
      <w:r w:rsidR="0068053F" w:rsidRPr="0068053F">
        <w:rPr>
          <w:rFonts w:ascii="Calibri" w:eastAsia="Calibri" w:hAnsi="Calibri" w:cs="Times New Roman"/>
          <w:b/>
          <w:bCs/>
          <w:color w:val="7030A0"/>
        </w:rPr>
        <w:t xml:space="preserve"> </w:t>
      </w:r>
      <w:r w:rsidRPr="00607118">
        <w:rPr>
          <w:rFonts w:ascii="Calibri" w:eastAsia="Calibri" w:hAnsi="Calibri" w:cs="Times New Roman"/>
        </w:rPr>
        <w:t>HIV</w:t>
      </w:r>
      <w:r w:rsidR="00957F29">
        <w:rPr>
          <w:rFonts w:ascii="Calibri" w:eastAsia="Calibri" w:hAnsi="Calibri" w:cs="Times New Roman"/>
        </w:rPr>
        <w:t>,</w:t>
      </w:r>
      <w:r w:rsidRPr="00607118">
        <w:rPr>
          <w:rFonts w:ascii="Calibri" w:eastAsia="Calibri" w:hAnsi="Calibri" w:cs="Times New Roman"/>
        </w:rPr>
        <w:t xml:space="preserve"> that every individual within that population is </w:t>
      </w:r>
      <w:r w:rsidR="0068053F">
        <w:rPr>
          <w:rFonts w:ascii="Calibri" w:eastAsia="Calibri" w:hAnsi="Calibri" w:cs="Times New Roman"/>
        </w:rPr>
        <w:t>“</w:t>
      </w:r>
      <w:r w:rsidRPr="00607118">
        <w:rPr>
          <w:rFonts w:ascii="Calibri" w:eastAsia="Calibri" w:hAnsi="Calibri" w:cs="Times New Roman"/>
        </w:rPr>
        <w:t>at risk</w:t>
      </w:r>
      <w:r w:rsidR="0068053F">
        <w:rPr>
          <w:rFonts w:ascii="Calibri" w:eastAsia="Calibri" w:hAnsi="Calibri" w:cs="Times New Roman"/>
        </w:rPr>
        <w:t>”</w:t>
      </w:r>
      <w:r w:rsidRPr="00607118">
        <w:rPr>
          <w:rFonts w:ascii="Calibri" w:eastAsia="Calibri" w:hAnsi="Calibri" w:cs="Times New Roman"/>
        </w:rPr>
        <w:t>, or that one’s gender identity determines sexual risk behavior.  It is important to capture information about specific sexual behavior in addition to gender identity</w:t>
      </w:r>
      <w:r w:rsidR="00957F29">
        <w:rPr>
          <w:rFonts w:ascii="Calibri" w:eastAsia="Calibri" w:hAnsi="Calibri" w:cs="Times New Roman"/>
        </w:rPr>
        <w:t xml:space="preserve"> for each individual person</w:t>
      </w:r>
      <w:r w:rsidRPr="00607118">
        <w:rPr>
          <w:rFonts w:ascii="Calibri" w:eastAsia="Calibri" w:hAnsi="Calibri" w:cs="Times New Roman"/>
        </w:rPr>
        <w:t xml:space="preserve">.   </w:t>
      </w:r>
      <w:r w:rsidRPr="00607118">
        <w:rPr>
          <w:rFonts w:ascii="Calibri" w:eastAsia="Calibri" w:hAnsi="Calibri" w:cs="Times New Roman"/>
        </w:rPr>
        <w:tab/>
      </w:r>
      <w:r w:rsidRPr="00607118">
        <w:rPr>
          <w:rFonts w:ascii="Calibri" w:eastAsia="Calibri" w:hAnsi="Calibri" w:cs="Times New Roman"/>
        </w:rPr>
        <w:tab/>
      </w:r>
      <w:r w:rsidRPr="00607118">
        <w:rPr>
          <w:rFonts w:ascii="Calibri" w:eastAsia="Calibri" w:hAnsi="Calibri" w:cs="Times New Roman"/>
        </w:rPr>
        <w:tab/>
        <w:t xml:space="preserve">                      </w:t>
      </w:r>
      <w:r w:rsidRPr="00607118">
        <w:rPr>
          <w:rFonts w:ascii="Calibri" w:eastAsia="Calibri" w:hAnsi="Calibri" w:cs="Times New Roman"/>
        </w:rPr>
        <w:tab/>
      </w:r>
      <w:r w:rsidRPr="00607118">
        <w:rPr>
          <w:rFonts w:ascii="Calibri" w:eastAsia="Calibri" w:hAnsi="Calibri" w:cs="Times New Roman"/>
        </w:rPr>
        <w:tab/>
      </w:r>
      <w:r w:rsidRPr="00607118">
        <w:rPr>
          <w:rFonts w:ascii="Calibri" w:eastAsia="Calibri" w:hAnsi="Calibri" w:cs="Times New Roman"/>
        </w:rPr>
        <w:tab/>
      </w:r>
      <w:r w:rsidRPr="00607118">
        <w:rPr>
          <w:rFonts w:ascii="Calibri" w:eastAsia="Calibri" w:hAnsi="Calibri" w:cs="Times New Roman"/>
        </w:rPr>
        <w:tab/>
      </w:r>
      <w:r w:rsidRPr="00607118">
        <w:rPr>
          <w:rFonts w:ascii="Calibri" w:eastAsia="Calibri" w:hAnsi="Calibri" w:cs="Times New Roman"/>
        </w:rPr>
        <w:tab/>
      </w:r>
      <w:r w:rsidRPr="00607118">
        <w:rPr>
          <w:rFonts w:ascii="Calibri" w:eastAsia="Calibri" w:hAnsi="Calibri" w:cs="Times New Roman"/>
        </w:rPr>
        <w:tab/>
        <w:t xml:space="preserve">                                                                    </w:t>
      </w:r>
      <w:r w:rsidRPr="00607118">
        <w:rPr>
          <w:rFonts w:ascii="Calibri" w:eastAsia="Calibri" w:hAnsi="Calibri" w:cs="Times New Roman"/>
        </w:rPr>
        <w:tab/>
      </w:r>
    </w:p>
    <w:p w14:paraId="359C1D55" w14:textId="77777777" w:rsidR="00682FA1" w:rsidRDefault="00682FA1">
      <w:pPr>
        <w:rPr>
          <w:rFonts w:ascii="Calibri" w:eastAsia="Calibri" w:hAnsi="Calibri" w:cs="Calibri"/>
          <w:b/>
          <w:bCs/>
          <w:sz w:val="32"/>
          <w:szCs w:val="32"/>
          <w:lang w:bidi="en-US"/>
        </w:rPr>
      </w:pPr>
      <w:r>
        <w:rPr>
          <w:rFonts w:ascii="Calibri" w:eastAsia="Calibri" w:hAnsi="Calibri" w:cs="Calibri"/>
          <w:b/>
          <w:bCs/>
          <w:sz w:val="32"/>
          <w:szCs w:val="32"/>
          <w:lang w:bidi="en-US"/>
        </w:rPr>
        <w:br w:type="page"/>
      </w:r>
    </w:p>
    <w:p w14:paraId="4A0EF297" w14:textId="77777777" w:rsidR="00541A2B" w:rsidRDefault="00541A2B" w:rsidP="00AD0C1D">
      <w:pPr>
        <w:jc w:val="center"/>
        <w:rPr>
          <w:rFonts w:ascii="Calibri" w:eastAsia="Calibri" w:hAnsi="Calibri" w:cs="Calibri"/>
          <w:b/>
          <w:bCs/>
          <w:sz w:val="32"/>
          <w:szCs w:val="32"/>
          <w:lang w:bidi="en-US"/>
        </w:rPr>
      </w:pPr>
      <w:r>
        <w:rPr>
          <w:rFonts w:ascii="Calibri" w:eastAsia="Calibri" w:hAnsi="Calibri" w:cs="Calibri"/>
          <w:b/>
          <w:bCs/>
          <w:sz w:val="32"/>
          <w:szCs w:val="32"/>
          <w:lang w:bidi="en-US"/>
        </w:rPr>
        <w:lastRenderedPageBreak/>
        <w:t>Appendix 1</w:t>
      </w:r>
    </w:p>
    <w:p w14:paraId="6431C753" w14:textId="380F9D36" w:rsidR="004901DE" w:rsidRDefault="00042B8A" w:rsidP="00AD0C1D">
      <w:pPr>
        <w:jc w:val="center"/>
        <w:rPr>
          <w:rFonts w:ascii="Calibri" w:eastAsia="Calibri" w:hAnsi="Calibri" w:cs="Calibri"/>
          <w:b/>
          <w:bCs/>
          <w:sz w:val="32"/>
          <w:szCs w:val="32"/>
          <w:lang w:bidi="en-US"/>
        </w:rPr>
      </w:pPr>
      <w:r w:rsidRPr="001B04DB">
        <w:rPr>
          <w:rFonts w:ascii="Calibri" w:eastAsia="Calibri" w:hAnsi="Calibri" w:cs="Calibri"/>
          <w:b/>
          <w:bCs/>
          <w:sz w:val="32"/>
          <w:szCs w:val="32"/>
          <w:lang w:bidi="en-US"/>
        </w:rPr>
        <w:t>Definitions</w:t>
      </w:r>
    </w:p>
    <w:p w14:paraId="7DB1DCEB" w14:textId="77777777" w:rsidR="00541A2B" w:rsidRDefault="00541A2B" w:rsidP="00AD0C1D">
      <w:pPr>
        <w:jc w:val="center"/>
        <w:rPr>
          <w:rFonts w:ascii="Calibri" w:eastAsia="Calibri" w:hAnsi="Calibri" w:cs="Calibri"/>
          <w:b/>
          <w:bCs/>
          <w:sz w:val="32"/>
          <w:szCs w:val="32"/>
          <w:lang w:bidi="en-US"/>
        </w:rPr>
      </w:pPr>
    </w:p>
    <w:p w14:paraId="7980A7BA" w14:textId="30A470F6" w:rsidR="00AD0C1D" w:rsidRPr="001B04DB" w:rsidRDefault="00AD0C1D" w:rsidP="001B04DB">
      <w:pPr>
        <w:rPr>
          <w:rFonts w:ascii="Calibri" w:eastAsia="Calibri" w:hAnsi="Calibri" w:cs="Calibri"/>
          <w:b/>
          <w:bCs/>
          <w:sz w:val="24"/>
          <w:szCs w:val="24"/>
          <w:u w:val="single"/>
          <w:lang w:bidi="en-US"/>
        </w:rPr>
      </w:pPr>
      <w:r w:rsidRPr="001B04DB">
        <w:rPr>
          <w:rFonts w:ascii="Calibri" w:eastAsia="Calibri" w:hAnsi="Calibri" w:cs="Calibri"/>
          <w:b/>
          <w:bCs/>
          <w:sz w:val="24"/>
          <w:szCs w:val="24"/>
          <w:u w:val="single"/>
          <w:lang w:bidi="en-US"/>
        </w:rPr>
        <w:t>Gender Categories</w:t>
      </w:r>
    </w:p>
    <w:p w14:paraId="4C033561" w14:textId="528DB52F" w:rsidR="009C232A" w:rsidRDefault="009C232A" w:rsidP="00541A2B">
      <w:pPr>
        <w:spacing w:after="0" w:line="240" w:lineRule="auto"/>
        <w:rPr>
          <w:rFonts w:ascii="Times New Roman" w:eastAsia="Times New Roman" w:hAnsi="Times New Roman" w:cs="Times New Roman"/>
        </w:rPr>
      </w:pPr>
      <w:r>
        <w:rPr>
          <w:b/>
          <w:bCs/>
        </w:rPr>
        <w:t>Cisgender</w:t>
      </w:r>
      <w:r w:rsidR="00541A2B">
        <w:rPr>
          <w:b/>
          <w:bCs/>
        </w:rPr>
        <w:t xml:space="preserve"> </w:t>
      </w:r>
      <w:r w:rsidR="00541A2B" w:rsidRPr="00AD3677">
        <w:rPr>
          <w:rFonts w:eastAsia="Times New Roman" w:cs="Times New Roman"/>
          <w:color w:val="000000"/>
          <w:kern w:val="24"/>
        </w:rPr>
        <w:t>is the term used to describe someone whose gender identity matches the sex they were assigned at birth. This term comes from chemistry, where “cis” means “same</w:t>
      </w:r>
      <w:r w:rsidR="00541A2B" w:rsidRPr="00AD3677">
        <w:rPr>
          <w:rFonts w:eastAsia="Times New Roman" w:cs="Times New Roman"/>
          <w:i/>
          <w:iCs/>
          <w:color w:val="000000"/>
          <w:kern w:val="24"/>
        </w:rPr>
        <w:t xml:space="preserve"> </w:t>
      </w:r>
      <w:r w:rsidR="00541A2B" w:rsidRPr="00AD3677">
        <w:rPr>
          <w:rFonts w:eastAsia="Times New Roman" w:cs="Times New Roman"/>
          <w:color w:val="000000"/>
          <w:kern w:val="24"/>
        </w:rPr>
        <w:t>side.”</w:t>
      </w:r>
    </w:p>
    <w:p w14:paraId="216CA371" w14:textId="77777777" w:rsidR="00541A2B" w:rsidRPr="00541A2B" w:rsidRDefault="00541A2B" w:rsidP="00541A2B">
      <w:pPr>
        <w:spacing w:after="0" w:line="240" w:lineRule="auto"/>
        <w:rPr>
          <w:rFonts w:ascii="Times New Roman" w:eastAsia="Times New Roman" w:hAnsi="Times New Roman" w:cs="Times New Roman"/>
        </w:rPr>
      </w:pPr>
    </w:p>
    <w:p w14:paraId="719A9C88" w14:textId="76057FC2" w:rsidR="004901DE" w:rsidRPr="00AD0C1D" w:rsidRDefault="004901DE" w:rsidP="004901DE">
      <w:pPr>
        <w:rPr>
          <w:rFonts w:ascii="Calibri" w:eastAsia="Calibri" w:hAnsi="Calibri" w:cs="Calibri"/>
          <w:lang w:bidi="en-US"/>
        </w:rPr>
      </w:pPr>
      <w:r w:rsidRPr="001B04DB">
        <w:rPr>
          <w:b/>
          <w:bCs/>
        </w:rPr>
        <w:t>Gender</w:t>
      </w:r>
      <w:r>
        <w:t xml:space="preserve"> </w:t>
      </w:r>
      <w:r w:rsidRPr="006C66DA">
        <w:rPr>
          <w:rFonts w:ascii="Calibri" w:eastAsia="Times New Roman" w:hAnsi="Calibri" w:cs="Calibri"/>
          <w:color w:val="000000"/>
          <w:kern w:val="24"/>
        </w:rPr>
        <w:t>is the social construct of being a man, woman, boy, girl, neither, or both, and can vary by culture.</w:t>
      </w:r>
    </w:p>
    <w:p w14:paraId="789C2048" w14:textId="6EFDF20F" w:rsidR="004901DE" w:rsidRPr="006C66DA" w:rsidRDefault="004901DE" w:rsidP="001B04DB">
      <w:pPr>
        <w:spacing w:after="0" w:line="240" w:lineRule="auto"/>
        <w:ind w:left="-29" w:firstLine="29"/>
        <w:rPr>
          <w:rFonts w:ascii="Calibri" w:eastAsia="Times New Roman" w:hAnsi="Calibri" w:cs="Calibri"/>
          <w:color w:val="000000"/>
        </w:rPr>
      </w:pPr>
      <w:r w:rsidRPr="006C66DA">
        <w:rPr>
          <w:rFonts w:ascii="Calibri" w:eastAsia="Times New Roman" w:hAnsi="Calibri" w:cs="Calibri"/>
          <w:b/>
          <w:bCs/>
          <w:color w:val="000000"/>
          <w:kern w:val="24"/>
        </w:rPr>
        <w:t>Gender Identity</w:t>
      </w:r>
      <w:r w:rsidRPr="006C66DA">
        <w:rPr>
          <w:rFonts w:ascii="Calibri" w:eastAsia="Times New Roman" w:hAnsi="Calibri" w:cs="Calibri"/>
          <w:color w:val="000000"/>
          <w:kern w:val="24"/>
        </w:rPr>
        <w:t xml:space="preserve"> is a person’s internal sense of their gender, or how they identify themselves. People may identify as a man, woman, boy, girl, as neither</w:t>
      </w:r>
      <w:r>
        <w:rPr>
          <w:rFonts w:ascii="Calibri" w:eastAsia="Times New Roman" w:hAnsi="Calibri" w:cs="Calibri"/>
          <w:color w:val="000000"/>
          <w:kern w:val="24"/>
        </w:rPr>
        <w:t xml:space="preserve">, or both. </w:t>
      </w:r>
    </w:p>
    <w:p w14:paraId="7929D5DD" w14:textId="77777777" w:rsidR="004901DE" w:rsidRDefault="004901DE" w:rsidP="004901DE">
      <w:pPr>
        <w:spacing w:after="0" w:line="240" w:lineRule="auto"/>
      </w:pPr>
    </w:p>
    <w:p w14:paraId="6C35FB2E" w14:textId="1DC9202E" w:rsidR="004901DE" w:rsidRDefault="004901DE" w:rsidP="004901DE">
      <w:pPr>
        <w:spacing w:after="0" w:line="240" w:lineRule="auto"/>
        <w:rPr>
          <w:rFonts w:eastAsia="Times New Roman" w:cs="Calibri"/>
          <w:color w:val="000000"/>
          <w:kern w:val="24"/>
        </w:rPr>
      </w:pPr>
      <w:r w:rsidRPr="00DE4521">
        <w:rPr>
          <w:rFonts w:eastAsia="Times New Roman" w:cs="Calibri"/>
          <w:b/>
          <w:bCs/>
          <w:color w:val="000000"/>
          <w:kern w:val="24"/>
        </w:rPr>
        <w:t>Genderqueer</w:t>
      </w:r>
      <w:r w:rsidRPr="00DE4521">
        <w:rPr>
          <w:rFonts w:eastAsia="Times New Roman" w:cs="Calibri"/>
          <w:color w:val="000000"/>
          <w:kern w:val="24"/>
        </w:rPr>
        <w:t xml:space="preserve"> is used to describe people who don’t identify as a man or a woman; they do not subscribe to conventional gender distinctions. It may also be considered a catch-all term for gender identities other than man and woman. </w:t>
      </w:r>
    </w:p>
    <w:p w14:paraId="1619072D" w14:textId="77777777" w:rsidR="004901DE" w:rsidRPr="00AD0C1D" w:rsidRDefault="004901DE" w:rsidP="004901DE">
      <w:pPr>
        <w:spacing w:after="0" w:line="240" w:lineRule="auto"/>
        <w:rPr>
          <w:rFonts w:eastAsia="Times New Roman" w:cs="Calibri"/>
          <w:b/>
          <w:bCs/>
        </w:rPr>
      </w:pPr>
    </w:p>
    <w:p w14:paraId="11223ACE" w14:textId="47E43E55" w:rsidR="004901DE" w:rsidRDefault="004901DE" w:rsidP="004901DE">
      <w:r w:rsidRPr="00AD0C1D">
        <w:rPr>
          <w:b/>
          <w:bCs/>
        </w:rPr>
        <w:t>Gender Non-binary</w:t>
      </w:r>
      <w:r>
        <w:rPr>
          <w:rFonts w:ascii="Arial" w:hAnsi="Arial" w:cs="Arial"/>
          <w:color w:val="222222"/>
          <w:sz w:val="21"/>
          <w:szCs w:val="21"/>
          <w:shd w:val="clear" w:color="auto" w:fill="FFFFFF"/>
        </w:rPr>
        <w:t xml:space="preserve"> </w:t>
      </w:r>
      <w:r w:rsidRPr="00AD0C1D">
        <w:rPr>
          <w:rFonts w:eastAsia="Times New Roman" w:cs="Calibri"/>
          <w:color w:val="000000"/>
          <w:kern w:val="24"/>
        </w:rPr>
        <w:t xml:space="preserve">refers to people whose gender identity </w:t>
      </w:r>
      <w:r w:rsidR="00AD0C1D" w:rsidRPr="00AD0C1D">
        <w:rPr>
          <w:rFonts w:eastAsia="Times New Roman" w:cs="Calibri"/>
          <w:color w:val="000000"/>
          <w:kern w:val="24"/>
        </w:rPr>
        <w:t xml:space="preserve">does not fit </w:t>
      </w:r>
      <w:r w:rsidR="00682FA1">
        <w:rPr>
          <w:rFonts w:eastAsia="Times New Roman" w:cs="Calibri"/>
          <w:color w:val="000000"/>
          <w:kern w:val="24"/>
        </w:rPr>
        <w:t>neatly into the</w:t>
      </w:r>
      <w:r w:rsidR="00AD0C1D" w:rsidRPr="00AD0C1D">
        <w:rPr>
          <w:rFonts w:eastAsia="Times New Roman" w:cs="Calibri"/>
          <w:color w:val="000000"/>
          <w:kern w:val="24"/>
        </w:rPr>
        <w:t xml:space="preserve"> gender categories of man or woman</w:t>
      </w:r>
      <w:r w:rsidR="00682FA1">
        <w:rPr>
          <w:rFonts w:eastAsia="Times New Roman" w:cs="Calibri"/>
          <w:color w:val="000000"/>
          <w:kern w:val="24"/>
        </w:rPr>
        <w:t>. They</w:t>
      </w:r>
      <w:r w:rsidR="00AD0C1D" w:rsidRPr="00AD0C1D">
        <w:rPr>
          <w:rFonts w:eastAsia="Times New Roman" w:cs="Calibri"/>
          <w:color w:val="000000"/>
          <w:kern w:val="24"/>
        </w:rPr>
        <w:t xml:space="preserve"> may identify completely outside the binary</w:t>
      </w:r>
      <w:r w:rsidR="00682FA1">
        <w:rPr>
          <w:rFonts w:eastAsia="Times New Roman" w:cs="Calibri"/>
          <w:color w:val="000000"/>
          <w:kern w:val="24"/>
        </w:rPr>
        <w:t xml:space="preserve"> or </w:t>
      </w:r>
      <w:r w:rsidR="00AD0C1D">
        <w:rPr>
          <w:rFonts w:eastAsia="Times New Roman" w:cs="Calibri"/>
          <w:color w:val="000000"/>
          <w:kern w:val="24"/>
        </w:rPr>
        <w:t>may identify with two or more gender</w:t>
      </w:r>
      <w:r w:rsidR="0067016F">
        <w:rPr>
          <w:rFonts w:eastAsia="Times New Roman" w:cs="Calibri"/>
          <w:color w:val="000000"/>
          <w:kern w:val="24"/>
        </w:rPr>
        <w:t>s</w:t>
      </w:r>
      <w:r w:rsidR="00AD0C1D">
        <w:rPr>
          <w:rFonts w:eastAsia="Times New Roman" w:cs="Calibri"/>
          <w:color w:val="000000"/>
          <w:kern w:val="24"/>
        </w:rPr>
        <w:t xml:space="preserve">. </w:t>
      </w:r>
    </w:p>
    <w:p w14:paraId="19F47F8F" w14:textId="34CCE72F" w:rsidR="004901DE" w:rsidRDefault="004901DE" w:rsidP="004901DE">
      <w:pPr>
        <w:spacing w:after="0" w:line="240" w:lineRule="auto"/>
        <w:rPr>
          <w:rFonts w:eastAsia="Times New Roman" w:cs="Calibri"/>
          <w:color w:val="000000"/>
          <w:kern w:val="24"/>
        </w:rPr>
      </w:pPr>
      <w:r w:rsidRPr="00AD0C1D">
        <w:rPr>
          <w:b/>
          <w:bCs/>
        </w:rPr>
        <w:t>Gender Non-conforming</w:t>
      </w:r>
      <w:r w:rsidRPr="00AD0C1D">
        <w:t xml:space="preserve"> </w:t>
      </w:r>
      <w:r w:rsidRPr="00DE4521">
        <w:rPr>
          <w:rFonts w:eastAsia="Times New Roman" w:cs="Calibri"/>
          <w:color w:val="000000"/>
          <w:kern w:val="24"/>
        </w:rPr>
        <w:t>refers to a person whose gender expression</w:t>
      </w:r>
      <w:r w:rsidR="0067016F">
        <w:rPr>
          <w:rFonts w:eastAsia="Times New Roman" w:cs="Calibri"/>
          <w:color w:val="000000"/>
          <w:kern w:val="24"/>
        </w:rPr>
        <w:t xml:space="preserve"> </w:t>
      </w:r>
      <w:r w:rsidRPr="00DE4521">
        <w:rPr>
          <w:rFonts w:eastAsia="Times New Roman" w:cs="Calibri"/>
          <w:color w:val="000000"/>
          <w:kern w:val="24"/>
        </w:rPr>
        <w:t xml:space="preserve">is not consistent with the societal or cultural norms expected of that gender. People who are gender non-conforming do not follow other peoples’ ideas or stereotypes about how they should look, or act based on the female or male sex they were assigned at birth. </w:t>
      </w:r>
    </w:p>
    <w:p w14:paraId="7FBC20BF" w14:textId="73B1EB55" w:rsidR="00AD0C1D" w:rsidRDefault="00AD0C1D" w:rsidP="004901DE">
      <w:pPr>
        <w:spacing w:after="0" w:line="240" w:lineRule="auto"/>
        <w:rPr>
          <w:rFonts w:eastAsia="Times New Roman" w:cs="Calibri"/>
        </w:rPr>
      </w:pPr>
    </w:p>
    <w:p w14:paraId="0B9E1DCF" w14:textId="7C25D5F5" w:rsidR="0067016F" w:rsidRDefault="0067016F" w:rsidP="004901DE">
      <w:pPr>
        <w:spacing w:after="0" w:line="240" w:lineRule="auto"/>
        <w:rPr>
          <w:rFonts w:eastAsia="Times New Roman" w:cs="Times New Roman"/>
          <w:color w:val="000000"/>
          <w:kern w:val="24"/>
        </w:rPr>
      </w:pPr>
      <w:r w:rsidRPr="0067016F">
        <w:rPr>
          <w:rFonts w:eastAsia="Times New Roman" w:cs="Calibri"/>
          <w:b/>
          <w:bCs/>
        </w:rPr>
        <w:t>Transgender or trans</w:t>
      </w:r>
      <w:r>
        <w:rPr>
          <w:rFonts w:eastAsia="Times New Roman" w:cs="Calibri"/>
        </w:rPr>
        <w:t xml:space="preserve"> </w:t>
      </w:r>
      <w:r w:rsidRPr="00AD3677">
        <w:rPr>
          <w:rFonts w:eastAsia="Times New Roman" w:cs="Times New Roman"/>
          <w:color w:val="000000"/>
          <w:kern w:val="24"/>
        </w:rPr>
        <w:t xml:space="preserve">describes a person whose gender identity differs from the sex </w:t>
      </w:r>
      <w:r>
        <w:rPr>
          <w:rFonts w:eastAsia="Times New Roman" w:cs="Times New Roman"/>
          <w:color w:val="000000"/>
          <w:kern w:val="24"/>
        </w:rPr>
        <w:t xml:space="preserve">they were </w:t>
      </w:r>
      <w:r w:rsidRPr="00AD3677">
        <w:rPr>
          <w:rFonts w:eastAsia="Times New Roman" w:cs="Times New Roman"/>
          <w:color w:val="000000"/>
          <w:kern w:val="24"/>
        </w:rPr>
        <w:t>assigned at birth and is defined by the person’s present identity</w:t>
      </w:r>
      <w:r>
        <w:rPr>
          <w:rFonts w:eastAsia="Times New Roman" w:cs="Times New Roman"/>
          <w:color w:val="000000"/>
          <w:kern w:val="24"/>
        </w:rPr>
        <w:t>.</w:t>
      </w:r>
    </w:p>
    <w:p w14:paraId="0A8E9C65" w14:textId="77777777" w:rsidR="0067016F" w:rsidRPr="00DE4521" w:rsidRDefault="0067016F" w:rsidP="004901DE">
      <w:pPr>
        <w:spacing w:after="0" w:line="240" w:lineRule="auto"/>
        <w:rPr>
          <w:rFonts w:eastAsia="Times New Roman" w:cs="Calibri"/>
        </w:rPr>
      </w:pPr>
    </w:p>
    <w:p w14:paraId="45017082" w14:textId="01385E89" w:rsidR="004901DE" w:rsidRDefault="004901DE" w:rsidP="00AD0C1D">
      <w:r w:rsidRPr="00AD0C1D">
        <w:rPr>
          <w:b/>
          <w:bCs/>
        </w:rPr>
        <w:t>Transgender Man/Trans Man</w:t>
      </w:r>
      <w:r w:rsidR="00AD0C1D">
        <w:t xml:space="preserve"> refers to someone who identifies as a man but was assigned female sex at birth. </w:t>
      </w:r>
    </w:p>
    <w:p w14:paraId="63461579" w14:textId="2C86226B" w:rsidR="004901DE" w:rsidRPr="00AD0C1D" w:rsidRDefault="004901DE" w:rsidP="00AD0C1D">
      <w:r w:rsidRPr="00AD0C1D">
        <w:rPr>
          <w:b/>
          <w:bCs/>
        </w:rPr>
        <w:t>Transgender Woman/Trans Woman</w:t>
      </w:r>
      <w:r w:rsidR="00AD0C1D">
        <w:rPr>
          <w:b/>
          <w:bCs/>
        </w:rPr>
        <w:t xml:space="preserve"> </w:t>
      </w:r>
      <w:r w:rsidR="00AD0C1D" w:rsidRPr="00AD0C1D">
        <w:t xml:space="preserve">refers to someone who identifies as a woman but was assigned male sex at birth. </w:t>
      </w:r>
    </w:p>
    <w:p w14:paraId="2A1CA79A" w14:textId="005771A9" w:rsidR="00AD0C1D" w:rsidRPr="00AD0C1D" w:rsidRDefault="004901DE" w:rsidP="00AD0C1D">
      <w:pPr>
        <w:rPr>
          <w:b/>
          <w:bCs/>
        </w:rPr>
      </w:pPr>
      <w:r w:rsidRPr="00AD0C1D">
        <w:rPr>
          <w:b/>
          <w:bCs/>
        </w:rPr>
        <w:t>Two-Spirit</w:t>
      </w:r>
      <w:r w:rsidR="00AD0C1D">
        <w:rPr>
          <w:b/>
          <w:bCs/>
        </w:rPr>
        <w:t xml:space="preserve"> </w:t>
      </w:r>
      <w:r w:rsidR="00AD0C1D" w:rsidRPr="00AD3677">
        <w:rPr>
          <w:rFonts w:eastAsia="Times New Roman" w:cs="Times New Roman"/>
          <w:color w:val="000000"/>
          <w:kern w:val="24"/>
        </w:rPr>
        <w:t>is a modern umbrella term used by some indigenous North Americans to describe certain people in their communities - gay, lesbian, bisexual, a</w:t>
      </w:r>
      <w:r w:rsidR="00AD0C1D">
        <w:rPr>
          <w:rFonts w:eastAsia="Times New Roman" w:cs="Times New Roman"/>
          <w:color w:val="000000"/>
          <w:kern w:val="24"/>
        </w:rPr>
        <w:t xml:space="preserve">s well as </w:t>
      </w:r>
      <w:r w:rsidR="00AD0C1D" w:rsidRPr="00AD3677">
        <w:rPr>
          <w:rFonts w:eastAsia="Times New Roman" w:cs="Times New Roman"/>
          <w:color w:val="000000"/>
          <w:kern w:val="24"/>
        </w:rPr>
        <w:t>gender</w:t>
      </w:r>
      <w:r w:rsidR="00AD0C1D">
        <w:rPr>
          <w:rFonts w:eastAsia="Times New Roman" w:cs="Times New Roman"/>
          <w:color w:val="000000"/>
          <w:kern w:val="24"/>
        </w:rPr>
        <w:t xml:space="preserve"> non-conforming</w:t>
      </w:r>
      <w:r w:rsidR="00AD0C1D" w:rsidRPr="00AD3677">
        <w:rPr>
          <w:rFonts w:eastAsia="Times New Roman" w:cs="Times New Roman"/>
          <w:color w:val="000000"/>
          <w:kern w:val="24"/>
        </w:rPr>
        <w:t xml:space="preserve"> individuals. Because the term “Two Spirit” can have different meanings, it is important to ask someone who uses the term to describe themselves, what it means to them. </w:t>
      </w:r>
    </w:p>
    <w:p w14:paraId="06D2C893" w14:textId="77777777" w:rsidR="00AD0C1D" w:rsidRDefault="00AD0C1D" w:rsidP="006C66DA">
      <w:pPr>
        <w:spacing w:after="0" w:line="240" w:lineRule="auto"/>
        <w:ind w:left="-59"/>
        <w:rPr>
          <w:rFonts w:ascii="Calibri" w:eastAsia="Times New Roman" w:hAnsi="Calibri" w:cs="Calibri"/>
          <w:color w:val="000000"/>
          <w:kern w:val="24"/>
        </w:rPr>
      </w:pPr>
    </w:p>
    <w:p w14:paraId="6AB858C5" w14:textId="77777777" w:rsidR="00AD0C1D" w:rsidRPr="001B04DB" w:rsidRDefault="00AD0C1D" w:rsidP="001B04DB">
      <w:pPr>
        <w:spacing w:after="0" w:line="240" w:lineRule="auto"/>
        <w:rPr>
          <w:rFonts w:ascii="Calibri" w:eastAsia="Times New Roman" w:hAnsi="Calibri" w:cs="Calibri"/>
          <w:b/>
          <w:bCs/>
          <w:color w:val="000000"/>
          <w:kern w:val="24"/>
          <w:u w:val="single"/>
        </w:rPr>
      </w:pPr>
      <w:r w:rsidRPr="001B04DB">
        <w:rPr>
          <w:rFonts w:ascii="Calibri" w:eastAsia="Times New Roman" w:hAnsi="Calibri" w:cs="Calibri"/>
          <w:b/>
          <w:bCs/>
          <w:color w:val="000000"/>
          <w:kern w:val="24"/>
          <w:u w:val="single"/>
        </w:rPr>
        <w:t>Sex Assigned at Birth</w:t>
      </w:r>
    </w:p>
    <w:p w14:paraId="644A0FEA" w14:textId="37239282" w:rsidR="006C66DA" w:rsidRPr="00AD0C1D" w:rsidRDefault="00AD0C1D" w:rsidP="006C66DA">
      <w:pPr>
        <w:spacing w:after="0" w:line="240" w:lineRule="auto"/>
        <w:ind w:left="-59"/>
        <w:rPr>
          <w:rFonts w:ascii="Calibri" w:eastAsia="Times New Roman" w:hAnsi="Calibri" w:cs="Calibri"/>
          <w:b/>
          <w:bCs/>
          <w:color w:val="000000"/>
        </w:rPr>
      </w:pPr>
      <w:r w:rsidRPr="00AD0C1D">
        <w:rPr>
          <w:rFonts w:ascii="Calibri" w:eastAsia="Times New Roman" w:hAnsi="Calibri" w:cs="Calibri"/>
          <w:b/>
          <w:bCs/>
          <w:color w:val="000000"/>
          <w:kern w:val="24"/>
        </w:rPr>
        <w:t xml:space="preserve"> </w:t>
      </w:r>
      <w:r w:rsidR="006C66DA" w:rsidRPr="00AD0C1D">
        <w:rPr>
          <w:rFonts w:ascii="Calibri" w:eastAsia="Times New Roman" w:hAnsi="Calibri" w:cs="Calibri"/>
          <w:b/>
          <w:bCs/>
          <w:color w:val="000000"/>
          <w:kern w:val="24"/>
        </w:rPr>
        <w:t> </w:t>
      </w:r>
    </w:p>
    <w:p w14:paraId="43BD572B" w14:textId="77777777" w:rsidR="00AD0C1D" w:rsidRDefault="00AD0C1D" w:rsidP="00AD0C1D">
      <w:r w:rsidRPr="00AD0C1D">
        <w:rPr>
          <w:rFonts w:eastAsia="Times New Roman" w:cs="Times New Roman"/>
          <w:b/>
          <w:bCs/>
          <w:color w:val="000000"/>
          <w:kern w:val="24"/>
        </w:rPr>
        <w:t>Intersex</w:t>
      </w:r>
      <w:r w:rsidRPr="00AD0C1D">
        <w:rPr>
          <w:rFonts w:eastAsia="Times New Roman" w:cs="Times New Roman"/>
          <w:color w:val="000000"/>
          <w:kern w:val="24"/>
        </w:rPr>
        <w:t xml:space="preserve"> is a term used for a variety of conditions in which a person is born with reproductive and/or sexual</w:t>
      </w:r>
      <w:r w:rsidRPr="006E51A1">
        <w:rPr>
          <w:rFonts w:eastAsia="Times New Roman" w:cs="Times New Roman"/>
          <w:color w:val="000000"/>
          <w:kern w:val="24"/>
        </w:rPr>
        <w:t xml:space="preserve"> anatomy that doesn’t seem to fit the typical definitions of female or male.</w:t>
      </w:r>
    </w:p>
    <w:p w14:paraId="51C5E87B" w14:textId="77777777" w:rsidR="00AD0C1D" w:rsidRPr="0004495D" w:rsidRDefault="00AD0C1D" w:rsidP="00AD0C1D">
      <w:pPr>
        <w:rPr>
          <w:b/>
          <w:bCs/>
        </w:rPr>
      </w:pPr>
      <w:r>
        <w:rPr>
          <w:b/>
          <w:bCs/>
        </w:rPr>
        <w:lastRenderedPageBreak/>
        <w:t>S</w:t>
      </w:r>
      <w:r w:rsidRPr="00CD46CA">
        <w:rPr>
          <w:b/>
          <w:bCs/>
        </w:rPr>
        <w:t>ex assigned at birth</w:t>
      </w:r>
      <w:r>
        <w:rPr>
          <w:rFonts w:ascii="Calibri" w:eastAsia="Times New Roman" w:hAnsi="Calibri" w:cs="Calibri"/>
          <w:color w:val="000000"/>
          <w:kern w:val="24"/>
        </w:rPr>
        <w:t xml:space="preserve"> </w:t>
      </w:r>
      <w:r w:rsidRPr="006C66DA">
        <w:rPr>
          <w:rFonts w:ascii="Calibri" w:eastAsia="Times New Roman" w:hAnsi="Calibri" w:cs="Calibri"/>
          <w:color w:val="000000"/>
          <w:kern w:val="24"/>
        </w:rPr>
        <w:t>is determined when a health care provider inspects a baby’s genitalia; the infant’s sex is assigned as male or female.</w:t>
      </w:r>
    </w:p>
    <w:p w14:paraId="62DB2DAC" w14:textId="77777777" w:rsidR="00AD0FB0" w:rsidRDefault="00AD0FB0" w:rsidP="00AD0C1D">
      <w:pPr>
        <w:rPr>
          <w:rFonts w:eastAsia="Times New Roman" w:cs="Times New Roman"/>
          <w:b/>
          <w:bCs/>
          <w:color w:val="000000"/>
          <w:kern w:val="24"/>
          <w:u w:val="single"/>
        </w:rPr>
      </w:pPr>
    </w:p>
    <w:p w14:paraId="6B6AE38F" w14:textId="1C1273EF" w:rsidR="00AD0FB0" w:rsidRDefault="00AD0FB0" w:rsidP="00AD0FB0">
      <w:pPr>
        <w:spacing w:after="0" w:line="240" w:lineRule="auto"/>
        <w:rPr>
          <w:rFonts w:eastAsia="Times New Roman" w:cs="Times New Roman"/>
          <w:b/>
          <w:bCs/>
          <w:color w:val="000000"/>
          <w:kern w:val="24"/>
        </w:rPr>
      </w:pPr>
      <w:r w:rsidRPr="0067016F">
        <w:rPr>
          <w:rFonts w:eastAsia="Times New Roman" w:cs="Times New Roman"/>
          <w:b/>
          <w:bCs/>
          <w:color w:val="000000"/>
          <w:kern w:val="24"/>
          <w:u w:val="single"/>
        </w:rPr>
        <w:t>Sexual Orientation</w:t>
      </w:r>
      <w:r w:rsidRPr="00AD0FB0">
        <w:rPr>
          <w:rFonts w:eastAsia="Times New Roman" w:cs="Times New Roman"/>
          <w:b/>
          <w:bCs/>
          <w:color w:val="000000"/>
          <w:kern w:val="24"/>
        </w:rPr>
        <w:t xml:space="preserve"> </w:t>
      </w:r>
    </w:p>
    <w:p w14:paraId="0AF655DE" w14:textId="77777777" w:rsidR="0067016F" w:rsidRDefault="0067016F" w:rsidP="00AD0FB0">
      <w:pPr>
        <w:spacing w:after="0" w:line="240" w:lineRule="auto"/>
        <w:rPr>
          <w:rFonts w:eastAsia="Times New Roman" w:cs="Times New Roman"/>
          <w:b/>
          <w:bCs/>
          <w:color w:val="000000"/>
          <w:kern w:val="24"/>
        </w:rPr>
      </w:pPr>
    </w:p>
    <w:p w14:paraId="6CDC096E" w14:textId="0FDE2445" w:rsidR="00AD0FB0" w:rsidRDefault="00253FDC" w:rsidP="00AD0FB0">
      <w:pPr>
        <w:spacing w:after="0" w:line="240" w:lineRule="auto"/>
        <w:rPr>
          <w:rFonts w:eastAsia="Times New Roman" w:cs="Times New Roman"/>
          <w:color w:val="000000"/>
          <w:kern w:val="24"/>
        </w:rPr>
      </w:pPr>
      <w:r>
        <w:rPr>
          <w:rFonts w:eastAsia="Times New Roman" w:cs="Times New Roman"/>
          <w:b/>
          <w:bCs/>
          <w:color w:val="000000"/>
          <w:kern w:val="24"/>
        </w:rPr>
        <w:t xml:space="preserve">Bisexual </w:t>
      </w:r>
      <w:r w:rsidRPr="00253FDC">
        <w:rPr>
          <w:rFonts w:eastAsia="Times New Roman" w:cs="Times New Roman"/>
          <w:bCs/>
          <w:color w:val="000000"/>
          <w:kern w:val="24"/>
        </w:rPr>
        <w:t xml:space="preserve">refers to someone who is </w:t>
      </w:r>
      <w:r w:rsidR="00AD0FB0" w:rsidRPr="00253FDC">
        <w:rPr>
          <w:rFonts w:eastAsia="Times New Roman" w:cs="Times New Roman"/>
          <w:color w:val="000000"/>
          <w:kern w:val="24"/>
        </w:rPr>
        <w:t>emotional</w:t>
      </w:r>
      <w:r w:rsidRPr="00253FDC">
        <w:rPr>
          <w:rFonts w:eastAsia="Times New Roman" w:cs="Times New Roman"/>
          <w:color w:val="000000"/>
          <w:kern w:val="24"/>
        </w:rPr>
        <w:t>ly</w:t>
      </w:r>
      <w:r w:rsidR="00AD0FB0" w:rsidRPr="00253FDC">
        <w:rPr>
          <w:rFonts w:eastAsia="Times New Roman" w:cs="Times New Roman"/>
          <w:color w:val="000000"/>
          <w:kern w:val="24"/>
        </w:rPr>
        <w:t xml:space="preserve"> and sexua</w:t>
      </w:r>
      <w:r w:rsidRPr="00253FDC">
        <w:rPr>
          <w:rFonts w:eastAsia="Times New Roman" w:cs="Times New Roman"/>
          <w:color w:val="000000"/>
          <w:kern w:val="24"/>
        </w:rPr>
        <w:t>lly</w:t>
      </w:r>
      <w:r>
        <w:rPr>
          <w:rFonts w:eastAsia="Times New Roman" w:cs="Times New Roman"/>
          <w:color w:val="000000"/>
          <w:kern w:val="24"/>
        </w:rPr>
        <w:t xml:space="preserve"> attracted</w:t>
      </w:r>
      <w:r w:rsidR="00AD0FB0" w:rsidRPr="00A83844">
        <w:rPr>
          <w:rFonts w:eastAsia="Times New Roman" w:cs="Times New Roman"/>
          <w:color w:val="000000"/>
          <w:kern w:val="24"/>
        </w:rPr>
        <w:t xml:space="preserve"> to people of the same and opposite genders</w:t>
      </w:r>
      <w:r w:rsidR="0067016F">
        <w:rPr>
          <w:rFonts w:eastAsia="Times New Roman" w:cs="Times New Roman"/>
          <w:color w:val="000000"/>
          <w:kern w:val="24"/>
        </w:rPr>
        <w:t>.</w:t>
      </w:r>
      <w:r w:rsidR="00AD0FB0" w:rsidRPr="00A83844">
        <w:rPr>
          <w:rFonts w:eastAsia="Times New Roman" w:cs="Times New Roman"/>
          <w:color w:val="000000"/>
          <w:kern w:val="24"/>
        </w:rPr>
        <w:t xml:space="preserve"> </w:t>
      </w:r>
    </w:p>
    <w:p w14:paraId="7385C8DF" w14:textId="77777777" w:rsidR="00AD0FB0" w:rsidRPr="00A83844" w:rsidRDefault="00AD0FB0" w:rsidP="0067016F">
      <w:pPr>
        <w:spacing w:after="0" w:line="240" w:lineRule="auto"/>
        <w:rPr>
          <w:rFonts w:ascii="Times New Roman" w:eastAsia="Times New Roman" w:hAnsi="Times New Roman" w:cs="Times New Roman"/>
        </w:rPr>
      </w:pPr>
    </w:p>
    <w:p w14:paraId="2C937E1D" w14:textId="28BC27CD" w:rsidR="00AD0FB0" w:rsidRDefault="00AD0FB0" w:rsidP="0067016F">
      <w:pPr>
        <w:spacing w:after="0" w:line="240" w:lineRule="auto"/>
        <w:rPr>
          <w:rFonts w:eastAsia="Times New Roman" w:cs="Times New Roman"/>
          <w:color w:val="000000"/>
          <w:kern w:val="24"/>
        </w:rPr>
      </w:pPr>
      <w:r w:rsidRPr="00A83844">
        <w:rPr>
          <w:rFonts w:eastAsia="Times New Roman" w:cs="Times New Roman"/>
          <w:b/>
          <w:bCs/>
          <w:color w:val="000000"/>
          <w:kern w:val="24"/>
        </w:rPr>
        <w:t>Gay, lesbian</w:t>
      </w:r>
      <w:r w:rsidR="00E341F8">
        <w:rPr>
          <w:rFonts w:eastAsia="Times New Roman" w:cs="Times New Roman"/>
          <w:b/>
          <w:bCs/>
          <w:color w:val="000000"/>
          <w:kern w:val="24"/>
        </w:rPr>
        <w:t>, homosexual</w:t>
      </w:r>
      <w:r w:rsidRPr="00A83844">
        <w:rPr>
          <w:rFonts w:eastAsia="Times New Roman" w:cs="Times New Roman"/>
          <w:b/>
          <w:bCs/>
          <w:color w:val="000000"/>
          <w:kern w:val="24"/>
        </w:rPr>
        <w:t xml:space="preserve"> or same-gender loving</w:t>
      </w:r>
      <w:r w:rsidR="00253FDC">
        <w:rPr>
          <w:rFonts w:eastAsia="Times New Roman" w:cs="Times New Roman"/>
          <w:b/>
          <w:bCs/>
          <w:color w:val="000000"/>
          <w:kern w:val="24"/>
        </w:rPr>
        <w:t xml:space="preserve"> </w:t>
      </w:r>
      <w:r w:rsidR="00253FDC" w:rsidRPr="00253FDC">
        <w:rPr>
          <w:rFonts w:eastAsia="Times New Roman" w:cs="Times New Roman"/>
          <w:bCs/>
          <w:color w:val="000000"/>
          <w:kern w:val="24"/>
        </w:rPr>
        <w:t>refers to someone who is</w:t>
      </w:r>
      <w:r w:rsidR="00253FDC" w:rsidRPr="00253FDC">
        <w:rPr>
          <w:rFonts w:eastAsia="Times New Roman" w:cs="Times New Roman"/>
          <w:color w:val="000000"/>
          <w:kern w:val="24"/>
        </w:rPr>
        <w:t xml:space="preserve"> emotionally</w:t>
      </w:r>
      <w:r w:rsidR="00253FDC">
        <w:rPr>
          <w:rFonts w:eastAsia="Times New Roman" w:cs="Times New Roman"/>
          <w:color w:val="000000"/>
          <w:kern w:val="24"/>
        </w:rPr>
        <w:t xml:space="preserve"> </w:t>
      </w:r>
      <w:r w:rsidRPr="00A83844">
        <w:rPr>
          <w:rFonts w:eastAsia="Times New Roman" w:cs="Times New Roman"/>
          <w:color w:val="000000"/>
          <w:kern w:val="24"/>
        </w:rPr>
        <w:t>and sexual</w:t>
      </w:r>
      <w:r w:rsidR="00253FDC">
        <w:rPr>
          <w:rFonts w:eastAsia="Times New Roman" w:cs="Times New Roman"/>
          <w:color w:val="000000"/>
          <w:kern w:val="24"/>
        </w:rPr>
        <w:t>ly attracted</w:t>
      </w:r>
      <w:r w:rsidRPr="00A83844">
        <w:rPr>
          <w:rFonts w:eastAsia="Times New Roman" w:cs="Times New Roman"/>
          <w:color w:val="000000"/>
          <w:kern w:val="24"/>
        </w:rPr>
        <w:t xml:space="preserve"> to people of the same gender</w:t>
      </w:r>
      <w:r w:rsidR="0067016F">
        <w:rPr>
          <w:rFonts w:eastAsia="Times New Roman" w:cs="Times New Roman"/>
          <w:color w:val="000000"/>
          <w:kern w:val="24"/>
        </w:rPr>
        <w:t>.</w:t>
      </w:r>
    </w:p>
    <w:p w14:paraId="6295211E" w14:textId="4C75A6C4" w:rsidR="00253FDC" w:rsidRDefault="00253FDC" w:rsidP="0067016F">
      <w:pPr>
        <w:spacing w:after="0" w:line="240" w:lineRule="auto"/>
        <w:rPr>
          <w:rFonts w:eastAsia="Times New Roman" w:cs="Times New Roman"/>
          <w:color w:val="000000"/>
          <w:kern w:val="24"/>
        </w:rPr>
      </w:pPr>
    </w:p>
    <w:p w14:paraId="588B8099" w14:textId="0F35CA72" w:rsidR="00253FDC" w:rsidRPr="00253FDC" w:rsidRDefault="00253FDC" w:rsidP="0067016F">
      <w:pPr>
        <w:spacing w:after="0" w:line="240" w:lineRule="auto"/>
        <w:rPr>
          <w:rFonts w:eastAsia="Times New Roman" w:cs="Times New Roman"/>
          <w:color w:val="000000"/>
          <w:kern w:val="24"/>
        </w:rPr>
      </w:pPr>
      <w:r w:rsidRPr="00253FDC">
        <w:rPr>
          <w:rFonts w:eastAsia="Times New Roman" w:cs="Times New Roman"/>
          <w:b/>
          <w:bCs/>
          <w:color w:val="000000"/>
          <w:kern w:val="24"/>
        </w:rPr>
        <w:t>Pansexual</w:t>
      </w:r>
      <w:r>
        <w:rPr>
          <w:rFonts w:eastAsia="Times New Roman" w:cs="Times New Roman"/>
          <w:b/>
          <w:bCs/>
          <w:color w:val="000000"/>
          <w:kern w:val="24"/>
        </w:rPr>
        <w:t xml:space="preserve"> </w:t>
      </w:r>
      <w:r w:rsidRPr="00253FDC">
        <w:rPr>
          <w:rFonts w:eastAsia="Times New Roman" w:cs="Times New Roman"/>
          <w:bCs/>
          <w:color w:val="000000"/>
          <w:kern w:val="24"/>
        </w:rPr>
        <w:t>refers to someone who is</w:t>
      </w:r>
      <w:r w:rsidRPr="00253FDC">
        <w:rPr>
          <w:rFonts w:eastAsia="Times New Roman" w:cs="Times New Roman"/>
          <w:color w:val="000000"/>
          <w:kern w:val="24"/>
        </w:rPr>
        <w:t xml:space="preserve"> emotionally</w:t>
      </w:r>
      <w:r w:rsidRPr="00A83844">
        <w:rPr>
          <w:rFonts w:eastAsia="Times New Roman" w:cs="Times New Roman"/>
          <w:color w:val="000000"/>
          <w:kern w:val="24"/>
        </w:rPr>
        <w:t xml:space="preserve"> and sexua</w:t>
      </w:r>
      <w:r>
        <w:rPr>
          <w:rFonts w:eastAsia="Times New Roman" w:cs="Times New Roman"/>
          <w:color w:val="000000"/>
          <w:kern w:val="24"/>
        </w:rPr>
        <w:t>lly attracted</w:t>
      </w:r>
      <w:r w:rsidRPr="00A83844">
        <w:rPr>
          <w:rFonts w:eastAsia="Times New Roman" w:cs="Times New Roman"/>
          <w:color w:val="000000"/>
          <w:kern w:val="24"/>
        </w:rPr>
        <w:t xml:space="preserve"> to people of all gender identities</w:t>
      </w:r>
      <w:r w:rsidR="004575E1">
        <w:rPr>
          <w:rFonts w:eastAsia="Times New Roman" w:cs="Times New Roman"/>
          <w:color w:val="000000"/>
          <w:kern w:val="24"/>
        </w:rPr>
        <w:t>.</w:t>
      </w:r>
      <w:r w:rsidRPr="00A83844">
        <w:rPr>
          <w:rFonts w:eastAsia="Times New Roman" w:cs="Times New Roman"/>
          <w:color w:val="000000"/>
          <w:kern w:val="24"/>
        </w:rPr>
        <w:t xml:space="preserve"> </w:t>
      </w:r>
    </w:p>
    <w:p w14:paraId="0B8239BB" w14:textId="77777777" w:rsidR="00AD0FB0" w:rsidRDefault="00AD0FB0" w:rsidP="00AD0FB0">
      <w:pPr>
        <w:spacing w:after="0" w:line="240" w:lineRule="auto"/>
        <w:rPr>
          <w:rFonts w:eastAsia="Times New Roman" w:cs="Times New Roman"/>
          <w:b/>
          <w:bCs/>
          <w:color w:val="000000"/>
          <w:kern w:val="24"/>
        </w:rPr>
      </w:pPr>
    </w:p>
    <w:p w14:paraId="48BDF39E" w14:textId="3B394BAA" w:rsidR="00AD0FB0" w:rsidRPr="00A83844" w:rsidRDefault="00AD0FB0" w:rsidP="0067016F">
      <w:pPr>
        <w:spacing w:after="0" w:line="240" w:lineRule="auto"/>
        <w:rPr>
          <w:rFonts w:ascii="Times New Roman" w:eastAsia="Times New Roman" w:hAnsi="Times New Roman" w:cs="Times New Roman"/>
        </w:rPr>
      </w:pPr>
      <w:r w:rsidRPr="00A83844">
        <w:rPr>
          <w:rFonts w:eastAsia="Times New Roman" w:cs="Times New Roman"/>
          <w:b/>
          <w:bCs/>
          <w:color w:val="000000"/>
          <w:kern w:val="24"/>
        </w:rPr>
        <w:t>Queer</w:t>
      </w:r>
      <w:r w:rsidR="004575E1">
        <w:rPr>
          <w:rFonts w:eastAsia="Times New Roman" w:cs="Times New Roman"/>
          <w:b/>
          <w:bCs/>
          <w:color w:val="000000"/>
          <w:kern w:val="24"/>
        </w:rPr>
        <w:t xml:space="preserve"> </w:t>
      </w:r>
      <w:r w:rsidR="004575E1">
        <w:rPr>
          <w:rFonts w:eastAsia="Times New Roman" w:cs="Times New Roman"/>
          <w:bCs/>
          <w:color w:val="000000"/>
          <w:kern w:val="24"/>
        </w:rPr>
        <w:t xml:space="preserve">refers to someone </w:t>
      </w:r>
      <w:r w:rsidRPr="004575E1">
        <w:rPr>
          <w:rFonts w:eastAsia="Times New Roman" w:cs="Times New Roman"/>
          <w:color w:val="000000"/>
          <w:kern w:val="24"/>
        </w:rPr>
        <w:t>who</w:t>
      </w:r>
      <w:r w:rsidRPr="00A83844">
        <w:rPr>
          <w:rFonts w:eastAsia="Times New Roman" w:cs="Times New Roman"/>
          <w:color w:val="000000"/>
          <w:kern w:val="24"/>
        </w:rPr>
        <w:t xml:space="preserve"> may think of their sexual orientation and/or gender identity as outside societal norms. The term is considered to be more fluid and inclusive than traditional categories for sexual orientation and gender identity, and some even use the term to describe their political beliefs. </w:t>
      </w:r>
    </w:p>
    <w:p w14:paraId="56B10C83" w14:textId="77777777" w:rsidR="00AD0FB0" w:rsidRDefault="00AD0FB0" w:rsidP="00AD0FB0">
      <w:pPr>
        <w:contextualSpacing/>
        <w:rPr>
          <w:rFonts w:ascii="Calibri" w:eastAsia="Calibri" w:hAnsi="Calibri" w:cs="Times New Roman"/>
          <w:b/>
          <w:bCs/>
        </w:rPr>
      </w:pPr>
    </w:p>
    <w:p w14:paraId="35A4A855" w14:textId="369EC936" w:rsidR="00AD0FB0" w:rsidRDefault="00AD0FB0" w:rsidP="0067016F">
      <w:pPr>
        <w:contextualSpacing/>
        <w:rPr>
          <w:rFonts w:eastAsia="Times New Roman" w:cs="Times New Roman"/>
          <w:color w:val="000000"/>
          <w:kern w:val="24"/>
        </w:rPr>
      </w:pPr>
      <w:r w:rsidRPr="0067016F">
        <w:rPr>
          <w:rFonts w:eastAsia="Times New Roman" w:cs="Times New Roman"/>
          <w:b/>
          <w:bCs/>
          <w:color w:val="000000"/>
          <w:kern w:val="24"/>
        </w:rPr>
        <w:t>Straight</w:t>
      </w:r>
      <w:r w:rsidRPr="0067016F">
        <w:rPr>
          <w:rFonts w:ascii="Calibri" w:eastAsia="Calibri" w:hAnsi="Calibri" w:cs="Times New Roman"/>
          <w:b/>
          <w:bCs/>
        </w:rPr>
        <w:t>/</w:t>
      </w:r>
      <w:r w:rsidR="00E341F8">
        <w:rPr>
          <w:rFonts w:ascii="Calibri" w:eastAsia="Calibri" w:hAnsi="Calibri" w:cs="Times New Roman"/>
          <w:b/>
          <w:bCs/>
        </w:rPr>
        <w:t>h</w:t>
      </w:r>
      <w:r w:rsidR="004575E1">
        <w:rPr>
          <w:rFonts w:ascii="Calibri" w:eastAsia="Calibri" w:hAnsi="Calibri" w:cs="Times New Roman"/>
          <w:b/>
          <w:bCs/>
        </w:rPr>
        <w:t>etero</w:t>
      </w:r>
      <w:r w:rsidRPr="0067016F">
        <w:rPr>
          <w:rFonts w:ascii="Calibri" w:eastAsia="Calibri" w:hAnsi="Calibri" w:cs="Times New Roman"/>
          <w:b/>
          <w:bCs/>
        </w:rPr>
        <w:t>sexual</w:t>
      </w:r>
      <w:r w:rsidR="004575E1">
        <w:rPr>
          <w:rFonts w:eastAsia="Times New Roman" w:cs="Times New Roman"/>
          <w:b/>
          <w:bCs/>
          <w:color w:val="000000"/>
          <w:kern w:val="24"/>
        </w:rPr>
        <w:t xml:space="preserve"> </w:t>
      </w:r>
      <w:r w:rsidR="004575E1" w:rsidRPr="004575E1">
        <w:rPr>
          <w:rFonts w:eastAsia="Times New Roman" w:cs="Times New Roman"/>
          <w:bCs/>
          <w:color w:val="000000"/>
          <w:kern w:val="24"/>
        </w:rPr>
        <w:t xml:space="preserve">refers to someone who is </w:t>
      </w:r>
      <w:r w:rsidRPr="004575E1">
        <w:rPr>
          <w:rFonts w:eastAsia="Times New Roman" w:cs="Times New Roman"/>
          <w:color w:val="000000"/>
          <w:kern w:val="24"/>
        </w:rPr>
        <w:t>emotional</w:t>
      </w:r>
      <w:r w:rsidR="004575E1" w:rsidRPr="004575E1">
        <w:rPr>
          <w:rFonts w:eastAsia="Times New Roman" w:cs="Times New Roman"/>
          <w:color w:val="000000"/>
          <w:kern w:val="24"/>
        </w:rPr>
        <w:t>ly</w:t>
      </w:r>
      <w:r w:rsidRPr="00A83844">
        <w:rPr>
          <w:rFonts w:eastAsia="Times New Roman" w:cs="Times New Roman"/>
          <w:color w:val="000000"/>
          <w:kern w:val="24"/>
        </w:rPr>
        <w:t xml:space="preserve"> and sexual</w:t>
      </w:r>
      <w:r w:rsidR="004575E1">
        <w:rPr>
          <w:rFonts w:eastAsia="Times New Roman" w:cs="Times New Roman"/>
          <w:color w:val="000000"/>
          <w:kern w:val="24"/>
        </w:rPr>
        <w:t>ly attracted</w:t>
      </w:r>
      <w:r w:rsidRPr="00A83844">
        <w:rPr>
          <w:rFonts w:eastAsia="Times New Roman" w:cs="Times New Roman"/>
          <w:color w:val="000000"/>
          <w:kern w:val="24"/>
        </w:rPr>
        <w:t xml:space="preserve"> to people of the opposite gender</w:t>
      </w:r>
      <w:r w:rsidR="001B04DB">
        <w:rPr>
          <w:rFonts w:eastAsia="Times New Roman" w:cs="Times New Roman"/>
          <w:color w:val="000000"/>
          <w:kern w:val="24"/>
        </w:rPr>
        <w:t>.</w:t>
      </w:r>
      <w:r w:rsidRPr="00A83844">
        <w:rPr>
          <w:rFonts w:eastAsia="Times New Roman" w:cs="Times New Roman"/>
          <w:color w:val="000000"/>
          <w:kern w:val="24"/>
        </w:rPr>
        <w:t xml:space="preserve"> </w:t>
      </w:r>
    </w:p>
    <w:p w14:paraId="403AAC09" w14:textId="77777777" w:rsidR="00E341F8" w:rsidRDefault="00E341F8" w:rsidP="00E341F8">
      <w:pPr>
        <w:contextualSpacing/>
        <w:rPr>
          <w:rFonts w:ascii="Calibri" w:eastAsia="Calibri" w:hAnsi="Calibri" w:cs="Times New Roman"/>
          <w:b/>
          <w:bCs/>
        </w:rPr>
      </w:pPr>
    </w:p>
    <w:p w14:paraId="6DE1F300" w14:textId="3734EF55" w:rsidR="00E341F8" w:rsidRPr="0067016F" w:rsidRDefault="00E341F8" w:rsidP="00E341F8">
      <w:pPr>
        <w:contextualSpacing/>
        <w:rPr>
          <w:rFonts w:ascii="Calibri" w:eastAsia="Calibri" w:hAnsi="Calibri" w:cs="Times New Roman"/>
          <w:b/>
          <w:bCs/>
        </w:rPr>
      </w:pPr>
      <w:r w:rsidRPr="0067016F">
        <w:rPr>
          <w:rFonts w:ascii="Calibri" w:eastAsia="Calibri" w:hAnsi="Calibri" w:cs="Times New Roman"/>
          <w:b/>
          <w:bCs/>
        </w:rPr>
        <w:t>Two-Spirit</w:t>
      </w:r>
      <w:r w:rsidR="004575E1">
        <w:rPr>
          <w:rFonts w:ascii="Calibri" w:eastAsia="Calibri" w:hAnsi="Calibri" w:cs="Times New Roman"/>
          <w:b/>
          <w:bCs/>
        </w:rPr>
        <w:t xml:space="preserve"> </w:t>
      </w:r>
      <w:r w:rsidR="004575E1" w:rsidRPr="004575E1">
        <w:rPr>
          <w:rFonts w:ascii="Calibri" w:eastAsia="Calibri" w:hAnsi="Calibri" w:cs="Times New Roman"/>
          <w:bCs/>
        </w:rPr>
        <w:t xml:space="preserve">is a </w:t>
      </w:r>
      <w:r w:rsidRPr="004575E1">
        <w:rPr>
          <w:rFonts w:eastAsia="Times New Roman" w:cs="Times New Roman"/>
          <w:color w:val="000000"/>
          <w:kern w:val="24"/>
        </w:rPr>
        <w:t>modern</w:t>
      </w:r>
      <w:r w:rsidRPr="00AD3677">
        <w:rPr>
          <w:rFonts w:eastAsia="Times New Roman" w:cs="Times New Roman"/>
          <w:color w:val="000000"/>
          <w:kern w:val="24"/>
        </w:rPr>
        <w:t xml:space="preserve"> umbrella term used by some indigenous North Americans to describe certain people in their communities - gay, lesbian, bisexual, </w:t>
      </w:r>
      <w:r>
        <w:rPr>
          <w:rFonts w:eastAsia="Times New Roman" w:cs="Times New Roman"/>
          <w:color w:val="000000"/>
          <w:kern w:val="24"/>
        </w:rPr>
        <w:t xml:space="preserve">and/or </w:t>
      </w:r>
      <w:r w:rsidRPr="00AD3677">
        <w:rPr>
          <w:rFonts w:eastAsia="Times New Roman" w:cs="Times New Roman"/>
          <w:color w:val="000000"/>
          <w:kern w:val="24"/>
        </w:rPr>
        <w:t>gender</w:t>
      </w:r>
      <w:r>
        <w:rPr>
          <w:rFonts w:eastAsia="Times New Roman" w:cs="Times New Roman"/>
          <w:color w:val="000000"/>
          <w:kern w:val="24"/>
        </w:rPr>
        <w:t xml:space="preserve"> non-conforming</w:t>
      </w:r>
      <w:r w:rsidRPr="00AD3677">
        <w:rPr>
          <w:rFonts w:eastAsia="Times New Roman" w:cs="Times New Roman"/>
          <w:color w:val="000000"/>
          <w:kern w:val="24"/>
        </w:rPr>
        <w:t>. Because the term “Two Spirit” can have different meanings, it is important to ask someone who uses the term to describe themselves, what it means to them.</w:t>
      </w:r>
    </w:p>
    <w:p w14:paraId="2E8881AD" w14:textId="77777777" w:rsidR="00E341F8" w:rsidRPr="0067016F" w:rsidRDefault="00E341F8" w:rsidP="0067016F">
      <w:pPr>
        <w:contextualSpacing/>
        <w:rPr>
          <w:rFonts w:ascii="Calibri" w:eastAsia="Calibri" w:hAnsi="Calibri" w:cs="Times New Roman"/>
        </w:rPr>
      </w:pPr>
    </w:p>
    <w:p w14:paraId="5580D283" w14:textId="77777777" w:rsidR="00AD0FB0" w:rsidRDefault="00AD0FB0" w:rsidP="004901DE">
      <w:pPr>
        <w:spacing w:after="0" w:line="240" w:lineRule="auto"/>
        <w:rPr>
          <w:b/>
          <w:bCs/>
          <w:u w:val="single"/>
        </w:rPr>
      </w:pPr>
    </w:p>
    <w:p w14:paraId="4B2F627A" w14:textId="77777777" w:rsidR="00042B8A" w:rsidRPr="00607118" w:rsidRDefault="00042B8A" w:rsidP="00DD403E">
      <w:pPr>
        <w:rPr>
          <w:rFonts w:ascii="Calibri" w:eastAsia="Calibri" w:hAnsi="Calibri" w:cs="Calibri"/>
          <w:lang w:bidi="en-US"/>
        </w:rPr>
      </w:pPr>
    </w:p>
    <w:p w14:paraId="3F99FFBB" w14:textId="77777777" w:rsidR="00607118" w:rsidRPr="00607118" w:rsidRDefault="00607118" w:rsidP="00607118">
      <w:pPr>
        <w:widowControl w:val="0"/>
        <w:autoSpaceDE w:val="0"/>
        <w:autoSpaceDN w:val="0"/>
        <w:spacing w:before="11" w:after="0" w:line="240" w:lineRule="auto"/>
        <w:jc w:val="center"/>
        <w:rPr>
          <w:rFonts w:ascii="Calibri" w:eastAsia="Calibri" w:hAnsi="Calibri" w:cs="Calibri"/>
          <w:sz w:val="21"/>
          <w:lang w:bidi="en-US"/>
        </w:rPr>
      </w:pPr>
    </w:p>
    <w:p w14:paraId="11F486AC" w14:textId="77777777" w:rsidR="00607118" w:rsidRPr="00607118" w:rsidRDefault="00607118" w:rsidP="00607118">
      <w:pPr>
        <w:widowControl w:val="0"/>
        <w:autoSpaceDE w:val="0"/>
        <w:autoSpaceDN w:val="0"/>
        <w:spacing w:before="11" w:after="0" w:line="240" w:lineRule="auto"/>
        <w:jc w:val="center"/>
        <w:rPr>
          <w:rFonts w:ascii="Calibri" w:eastAsia="Calibri" w:hAnsi="Calibri" w:cs="Calibri"/>
          <w:sz w:val="21"/>
          <w:lang w:bidi="en-US"/>
        </w:rPr>
      </w:pPr>
    </w:p>
    <w:p w14:paraId="6CDF30E0" w14:textId="77777777" w:rsidR="00607118" w:rsidRPr="00607118" w:rsidRDefault="00607118" w:rsidP="00DD403E">
      <w:pPr>
        <w:widowControl w:val="0"/>
        <w:autoSpaceDE w:val="0"/>
        <w:autoSpaceDN w:val="0"/>
        <w:spacing w:before="1" w:after="0" w:line="240" w:lineRule="auto"/>
        <w:ind w:right="103"/>
        <w:rPr>
          <w:rFonts w:ascii="Calibri" w:eastAsia="Calibri" w:hAnsi="Calibri" w:cs="Calibri"/>
          <w:lang w:bidi="en-US"/>
        </w:rPr>
      </w:pPr>
    </w:p>
    <w:p w14:paraId="4962EAA6" w14:textId="77777777" w:rsidR="00352225" w:rsidRDefault="00352225"/>
    <w:sectPr w:rsidR="00352225" w:rsidSect="001B04DB">
      <w:headerReference w:type="default" r:id="rId11"/>
      <w:footerReference w:type="default" r:id="rId12"/>
      <w:pgSz w:w="12240" w:h="15840"/>
      <w:pgMar w:top="1440" w:right="1080" w:bottom="1440" w:left="108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227FD8" w16cid:durableId="22247F26"/>
  <w16cid:commentId w16cid:paraId="7562DF73" w16cid:durableId="22247D99"/>
  <w16cid:commentId w16cid:paraId="45CB491B" w16cid:durableId="2224828E"/>
  <w16cid:commentId w16cid:paraId="66529BDA" w16cid:durableId="222483C2"/>
  <w16cid:commentId w16cid:paraId="1B63C154" w16cid:durableId="2224848C"/>
  <w16cid:commentId w16cid:paraId="1ECDEF3B" w16cid:durableId="222485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8E94D" w14:textId="77777777" w:rsidR="009D4507" w:rsidRDefault="009D4507" w:rsidP="00607118">
      <w:pPr>
        <w:spacing w:after="0" w:line="240" w:lineRule="auto"/>
      </w:pPr>
      <w:r>
        <w:separator/>
      </w:r>
    </w:p>
  </w:endnote>
  <w:endnote w:type="continuationSeparator" w:id="0">
    <w:p w14:paraId="5F4368E9" w14:textId="77777777" w:rsidR="009D4507" w:rsidRDefault="009D4507" w:rsidP="00607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586116"/>
      <w:docPartObj>
        <w:docPartGallery w:val="Page Numbers (Bottom of Page)"/>
        <w:docPartUnique/>
      </w:docPartObj>
    </w:sdtPr>
    <w:sdtEndPr>
      <w:rPr>
        <w:noProof/>
      </w:rPr>
    </w:sdtEndPr>
    <w:sdtContent>
      <w:p w14:paraId="7B126FA9" w14:textId="0AE087F4" w:rsidR="009D4507" w:rsidRDefault="009D4507">
        <w:pPr>
          <w:pStyle w:val="Footer"/>
          <w:jc w:val="right"/>
        </w:pPr>
        <w:r>
          <w:fldChar w:fldCharType="begin"/>
        </w:r>
        <w:r>
          <w:instrText xml:space="preserve"> PAGE   \* MERGEFORMAT </w:instrText>
        </w:r>
        <w:r>
          <w:fldChar w:fldCharType="separate"/>
        </w:r>
        <w:r w:rsidR="005F0497">
          <w:rPr>
            <w:noProof/>
          </w:rPr>
          <w:t>3</w:t>
        </w:r>
        <w:r>
          <w:rPr>
            <w:noProof/>
          </w:rPr>
          <w:fldChar w:fldCharType="end"/>
        </w:r>
      </w:p>
    </w:sdtContent>
  </w:sdt>
  <w:p w14:paraId="0D529F68" w14:textId="77777777" w:rsidR="009D4507" w:rsidRDefault="009D4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8CEA9" w14:textId="77777777" w:rsidR="009D4507" w:rsidRDefault="009D4507" w:rsidP="00607118">
      <w:pPr>
        <w:spacing w:after="0" w:line="240" w:lineRule="auto"/>
      </w:pPr>
      <w:r>
        <w:separator/>
      </w:r>
    </w:p>
  </w:footnote>
  <w:footnote w:type="continuationSeparator" w:id="0">
    <w:p w14:paraId="705CE552" w14:textId="77777777" w:rsidR="009D4507" w:rsidRDefault="009D4507" w:rsidP="00607118">
      <w:pPr>
        <w:spacing w:after="0" w:line="240" w:lineRule="auto"/>
      </w:pPr>
      <w:r>
        <w:continuationSeparator/>
      </w:r>
    </w:p>
  </w:footnote>
  <w:footnote w:id="1">
    <w:p w14:paraId="2B50F3DC" w14:textId="498AD3CB" w:rsidR="009D4507" w:rsidRDefault="009D4507">
      <w:pPr>
        <w:pStyle w:val="FootnoteText"/>
      </w:pPr>
      <w:r>
        <w:rPr>
          <w:rStyle w:val="FootnoteReference"/>
        </w:rPr>
        <w:footnoteRef/>
      </w:r>
      <w:r>
        <w:t xml:space="preserve"> Reisner SL, Conron KJ, Tardiff LA, et al.  Monitoring the health of transgender and other gender minority populations: validity of natal sex and gender identity survey items in a U.S. national cohort of young adults.  </w:t>
      </w:r>
      <w:r w:rsidRPr="000D7074">
        <w:rPr>
          <w:i/>
        </w:rPr>
        <w:t>BMC Public Health</w:t>
      </w:r>
      <w:r>
        <w:rPr>
          <w:i/>
        </w:rPr>
        <w:t>.</w:t>
      </w:r>
      <w:r>
        <w:t xml:space="preserve"> 2014; 14:1224</w:t>
      </w:r>
    </w:p>
  </w:footnote>
  <w:footnote w:id="2">
    <w:p w14:paraId="58B55B03" w14:textId="77777777" w:rsidR="009D4507" w:rsidRDefault="009D4507" w:rsidP="00607118">
      <w:pPr>
        <w:pStyle w:val="FootnoteText"/>
      </w:pPr>
      <w:r>
        <w:rPr>
          <w:rStyle w:val="FootnoteReference"/>
        </w:rPr>
        <w:footnoteRef/>
      </w:r>
      <w:r>
        <w:t xml:space="preserve"> </w:t>
      </w:r>
      <w:hyperlink r:id="rId1" w:history="1">
        <w:r w:rsidRPr="00596FFF">
          <w:rPr>
            <w:rStyle w:val="Hyperlink1"/>
          </w:rPr>
          <w:t>The Health of Lesbian, Gay, Bisexual and Transgender People, IOM, March 31, 2011</w:t>
        </w:r>
      </w:hyperlink>
    </w:p>
    <w:p w14:paraId="40716D63" w14:textId="77777777" w:rsidR="009D4507" w:rsidRDefault="005F0497" w:rsidP="00607118">
      <w:pPr>
        <w:pStyle w:val="FootnoteText"/>
      </w:pPr>
      <w:hyperlink r:id="rId2" w:history="1">
        <w:r w:rsidR="009D4507" w:rsidRPr="00596FFF">
          <w:rPr>
            <w:rStyle w:val="Hyperlink1"/>
          </w:rPr>
          <w:t>Centers for Disease Control and Prevention, Fast Facts, HIV Infection and Transgender People, August 2011</w:t>
        </w:r>
      </w:hyperlink>
    </w:p>
    <w:p w14:paraId="5A7E4D00" w14:textId="77777777" w:rsidR="009D4507" w:rsidRDefault="005F0497" w:rsidP="00607118">
      <w:pPr>
        <w:pStyle w:val="FootnoteText"/>
      </w:pPr>
      <w:hyperlink r:id="rId3" w:anchor="ch5.s1" w:history="1">
        <w:r w:rsidR="009D4507" w:rsidRPr="00254A00">
          <w:rPr>
            <w:rStyle w:val="Hyperlink1"/>
          </w:rPr>
          <w:t>Collecting Sexual Orientation and Gender Identity Data in Electronic Health Records:  Workshop Summary</w:t>
        </w:r>
      </w:hyperlink>
      <w:r w:rsidR="009D4507">
        <w:t>, 2013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AC636" w14:textId="4742F444" w:rsidR="009D4507" w:rsidRDefault="009D4507" w:rsidP="001B04DB">
    <w:pPr>
      <w:widowControl w:val="0"/>
      <w:autoSpaceDE w:val="0"/>
      <w:autoSpaceDN w:val="0"/>
      <w:spacing w:before="39" w:after="0" w:line="240" w:lineRule="auto"/>
      <w:rPr>
        <w:rFonts w:ascii="Calibri" w:eastAsia="Calibri" w:hAnsi="Calibri" w:cs="Calibri"/>
        <w:b/>
        <w:lang w:bidi="en-US"/>
      </w:rPr>
    </w:pPr>
    <w:r>
      <w:rPr>
        <w:rFonts w:ascii="Calibri" w:eastAsia="Calibri" w:hAnsi="Calibri" w:cs="Calibri"/>
        <w:b/>
        <w:lang w:bidi="en-US"/>
      </w:rPr>
      <w:t xml:space="preserve">Recommended Approach to </w:t>
    </w:r>
    <w:r w:rsidRPr="00607118">
      <w:rPr>
        <w:rFonts w:ascii="Calibri" w:eastAsia="Calibri" w:hAnsi="Calibri" w:cs="Calibri"/>
        <w:b/>
        <w:lang w:bidi="en-US"/>
      </w:rPr>
      <w:t>Data Collection</w:t>
    </w:r>
    <w:r>
      <w:rPr>
        <w:rFonts w:ascii="Calibri" w:eastAsia="Calibri" w:hAnsi="Calibri" w:cs="Calibri"/>
        <w:b/>
        <w:lang w:bidi="en-US"/>
      </w:rPr>
      <w:t>:</w:t>
    </w:r>
  </w:p>
  <w:p w14:paraId="56E44F5C" w14:textId="6EA1B19D" w:rsidR="009D4507" w:rsidRDefault="009D4507" w:rsidP="00AD0FB0">
    <w:pPr>
      <w:pStyle w:val="Header"/>
      <w:rPr>
        <w:rFonts w:ascii="Calibri" w:eastAsia="Calibri" w:hAnsi="Calibri" w:cs="Calibri"/>
        <w:b/>
        <w:lang w:bidi="en-US"/>
      </w:rPr>
    </w:pPr>
    <w:r w:rsidRPr="00607118">
      <w:rPr>
        <w:rFonts w:ascii="Calibri" w:eastAsia="Calibri" w:hAnsi="Calibri" w:cs="Calibri"/>
        <w:b/>
        <w:lang w:bidi="en-US"/>
      </w:rPr>
      <w:t>The Two-Step Method</w:t>
    </w:r>
  </w:p>
  <w:p w14:paraId="4C27B6DD" w14:textId="56C4BD76" w:rsidR="009D4507" w:rsidRDefault="009D4507" w:rsidP="00AD0FB0">
    <w:pPr>
      <w:pStyle w:val="Header"/>
    </w:pPr>
    <w:r>
      <w:rPr>
        <w:rFonts w:ascii="Calibri" w:eastAsia="Calibri" w:hAnsi="Calibri" w:cs="Calibri"/>
        <w:b/>
        <w:lang w:bidi="en-US"/>
      </w:rPr>
      <w:t>March 2020</w:t>
    </w:r>
  </w:p>
  <w:p w14:paraId="53B1C210" w14:textId="77777777" w:rsidR="009D4507" w:rsidRDefault="009D45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00127"/>
    <w:multiLevelType w:val="hybridMultilevel"/>
    <w:tmpl w:val="D6169ABA"/>
    <w:lvl w:ilvl="0" w:tplc="B02899A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B461DE"/>
    <w:multiLevelType w:val="hybridMultilevel"/>
    <w:tmpl w:val="A22CE6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5F83503"/>
    <w:multiLevelType w:val="hybridMultilevel"/>
    <w:tmpl w:val="D6A86C24"/>
    <w:lvl w:ilvl="0" w:tplc="9FC49E5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1D42A64"/>
    <w:multiLevelType w:val="hybridMultilevel"/>
    <w:tmpl w:val="E500E472"/>
    <w:lvl w:ilvl="0" w:tplc="65E2018C">
      <w:start w:val="1"/>
      <w:numFmt w:val="decimal"/>
      <w:lvlText w:val="%1."/>
      <w:lvlJc w:val="left"/>
      <w:pPr>
        <w:tabs>
          <w:tab w:val="num" w:pos="720"/>
        </w:tabs>
        <w:ind w:left="720" w:hanging="360"/>
      </w:pPr>
    </w:lvl>
    <w:lvl w:ilvl="1" w:tplc="C4E0380E" w:tentative="1">
      <w:start w:val="1"/>
      <w:numFmt w:val="decimal"/>
      <w:lvlText w:val="%2."/>
      <w:lvlJc w:val="left"/>
      <w:pPr>
        <w:tabs>
          <w:tab w:val="num" w:pos="1440"/>
        </w:tabs>
        <w:ind w:left="1440" w:hanging="360"/>
      </w:pPr>
    </w:lvl>
    <w:lvl w:ilvl="2" w:tplc="E8B2A2EC" w:tentative="1">
      <w:start w:val="1"/>
      <w:numFmt w:val="decimal"/>
      <w:lvlText w:val="%3."/>
      <w:lvlJc w:val="left"/>
      <w:pPr>
        <w:tabs>
          <w:tab w:val="num" w:pos="2160"/>
        </w:tabs>
        <w:ind w:left="2160" w:hanging="360"/>
      </w:pPr>
    </w:lvl>
    <w:lvl w:ilvl="3" w:tplc="A2B22F20" w:tentative="1">
      <w:start w:val="1"/>
      <w:numFmt w:val="decimal"/>
      <w:lvlText w:val="%4."/>
      <w:lvlJc w:val="left"/>
      <w:pPr>
        <w:tabs>
          <w:tab w:val="num" w:pos="2880"/>
        </w:tabs>
        <w:ind w:left="2880" w:hanging="360"/>
      </w:pPr>
    </w:lvl>
    <w:lvl w:ilvl="4" w:tplc="5E10E5DC" w:tentative="1">
      <w:start w:val="1"/>
      <w:numFmt w:val="decimal"/>
      <w:lvlText w:val="%5."/>
      <w:lvlJc w:val="left"/>
      <w:pPr>
        <w:tabs>
          <w:tab w:val="num" w:pos="3600"/>
        </w:tabs>
        <w:ind w:left="3600" w:hanging="360"/>
      </w:pPr>
    </w:lvl>
    <w:lvl w:ilvl="5" w:tplc="DC881232" w:tentative="1">
      <w:start w:val="1"/>
      <w:numFmt w:val="decimal"/>
      <w:lvlText w:val="%6."/>
      <w:lvlJc w:val="left"/>
      <w:pPr>
        <w:tabs>
          <w:tab w:val="num" w:pos="4320"/>
        </w:tabs>
        <w:ind w:left="4320" w:hanging="360"/>
      </w:pPr>
    </w:lvl>
    <w:lvl w:ilvl="6" w:tplc="7AC2CE44" w:tentative="1">
      <w:start w:val="1"/>
      <w:numFmt w:val="decimal"/>
      <w:lvlText w:val="%7."/>
      <w:lvlJc w:val="left"/>
      <w:pPr>
        <w:tabs>
          <w:tab w:val="num" w:pos="5040"/>
        </w:tabs>
        <w:ind w:left="5040" w:hanging="360"/>
      </w:pPr>
    </w:lvl>
    <w:lvl w:ilvl="7" w:tplc="B51EB6EC" w:tentative="1">
      <w:start w:val="1"/>
      <w:numFmt w:val="decimal"/>
      <w:lvlText w:val="%8."/>
      <w:lvlJc w:val="left"/>
      <w:pPr>
        <w:tabs>
          <w:tab w:val="num" w:pos="5760"/>
        </w:tabs>
        <w:ind w:left="5760" w:hanging="360"/>
      </w:pPr>
    </w:lvl>
    <w:lvl w:ilvl="8" w:tplc="044409CA" w:tentative="1">
      <w:start w:val="1"/>
      <w:numFmt w:val="decimal"/>
      <w:lvlText w:val="%9."/>
      <w:lvlJc w:val="left"/>
      <w:pPr>
        <w:tabs>
          <w:tab w:val="num" w:pos="6480"/>
        </w:tabs>
        <w:ind w:left="6480" w:hanging="360"/>
      </w:pPr>
    </w:lvl>
  </w:abstractNum>
  <w:abstractNum w:abstractNumId="4" w15:restartNumberingAfterBreak="0">
    <w:nsid w:val="44511C44"/>
    <w:multiLevelType w:val="hybridMultilevel"/>
    <w:tmpl w:val="2EC4A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A13D40"/>
    <w:multiLevelType w:val="hybridMultilevel"/>
    <w:tmpl w:val="B0E4B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6F3812"/>
    <w:multiLevelType w:val="hybridMultilevel"/>
    <w:tmpl w:val="A4BAE094"/>
    <w:lvl w:ilvl="0" w:tplc="9FC49E5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3250AD5"/>
    <w:multiLevelType w:val="hybridMultilevel"/>
    <w:tmpl w:val="F0D84248"/>
    <w:lvl w:ilvl="0" w:tplc="4DF62D5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272FAC"/>
    <w:multiLevelType w:val="hybridMultilevel"/>
    <w:tmpl w:val="BA980210"/>
    <w:lvl w:ilvl="0" w:tplc="89120564">
      <w:start w:val="1"/>
      <w:numFmt w:val="decimal"/>
      <w:lvlText w:val="%1."/>
      <w:lvlJc w:val="left"/>
      <w:pPr>
        <w:ind w:left="540" w:hanging="360"/>
      </w:pPr>
      <w:rPr>
        <w:rFonts w:eastAsia="Calibri" w:cs="Times New Roman" w:hint="default"/>
        <w:color w:val="auto"/>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BA6185"/>
    <w:multiLevelType w:val="hybridMultilevel"/>
    <w:tmpl w:val="FBD25450"/>
    <w:lvl w:ilvl="0" w:tplc="B6A0AF0C">
      <w:start w:val="1"/>
      <w:numFmt w:val="decimal"/>
      <w:lvlText w:val="%1."/>
      <w:lvlJc w:val="left"/>
      <w:pPr>
        <w:ind w:left="720" w:hanging="360"/>
      </w:pPr>
      <w:rPr>
        <w:rFonts w:eastAsia="Calibri"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DD52CC"/>
    <w:multiLevelType w:val="hybridMultilevel"/>
    <w:tmpl w:val="279A97D2"/>
    <w:lvl w:ilvl="0" w:tplc="B02899AC">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7"/>
  </w:num>
  <w:num w:numId="2">
    <w:abstractNumId w:val="10"/>
  </w:num>
  <w:num w:numId="3">
    <w:abstractNumId w:val="0"/>
  </w:num>
  <w:num w:numId="4">
    <w:abstractNumId w:val="5"/>
  </w:num>
  <w:num w:numId="5">
    <w:abstractNumId w:val="2"/>
  </w:num>
  <w:num w:numId="6">
    <w:abstractNumId w:val="6"/>
  </w:num>
  <w:num w:numId="7">
    <w:abstractNumId w:val="3"/>
  </w:num>
  <w:num w:numId="8">
    <w:abstractNumId w:val="9"/>
  </w:num>
  <w:num w:numId="9">
    <w:abstractNumId w:val="8"/>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118"/>
    <w:rsid w:val="00014DA8"/>
    <w:rsid w:val="00040744"/>
    <w:rsid w:val="00042B8A"/>
    <w:rsid w:val="000904A7"/>
    <w:rsid w:val="000D1D2C"/>
    <w:rsid w:val="000E4979"/>
    <w:rsid w:val="001B04DB"/>
    <w:rsid w:val="001D13E2"/>
    <w:rsid w:val="00253FDC"/>
    <w:rsid w:val="00287F4A"/>
    <w:rsid w:val="00352225"/>
    <w:rsid w:val="003A59B8"/>
    <w:rsid w:val="003D685B"/>
    <w:rsid w:val="003E0A86"/>
    <w:rsid w:val="004028D8"/>
    <w:rsid w:val="004575E1"/>
    <w:rsid w:val="004901DE"/>
    <w:rsid w:val="004B44D7"/>
    <w:rsid w:val="004C2123"/>
    <w:rsid w:val="00541A2B"/>
    <w:rsid w:val="00566097"/>
    <w:rsid w:val="005F0497"/>
    <w:rsid w:val="00607118"/>
    <w:rsid w:val="0067016F"/>
    <w:rsid w:val="0068053F"/>
    <w:rsid w:val="00682FA1"/>
    <w:rsid w:val="006C3C60"/>
    <w:rsid w:val="006C66DA"/>
    <w:rsid w:val="0071015D"/>
    <w:rsid w:val="007273D4"/>
    <w:rsid w:val="00767387"/>
    <w:rsid w:val="00796933"/>
    <w:rsid w:val="007C3B13"/>
    <w:rsid w:val="007D2471"/>
    <w:rsid w:val="00827461"/>
    <w:rsid w:val="009230E4"/>
    <w:rsid w:val="00944E2F"/>
    <w:rsid w:val="00957F29"/>
    <w:rsid w:val="009A6C8C"/>
    <w:rsid w:val="009C232A"/>
    <w:rsid w:val="009D4507"/>
    <w:rsid w:val="00A233B8"/>
    <w:rsid w:val="00A6639E"/>
    <w:rsid w:val="00AD0C1D"/>
    <w:rsid w:val="00AD0FB0"/>
    <w:rsid w:val="00B26D86"/>
    <w:rsid w:val="00B70406"/>
    <w:rsid w:val="00BC638D"/>
    <w:rsid w:val="00C216B6"/>
    <w:rsid w:val="00DB22FE"/>
    <w:rsid w:val="00DD403E"/>
    <w:rsid w:val="00E341F8"/>
    <w:rsid w:val="00F53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331AA"/>
  <w15:chartTrackingRefBased/>
  <w15:docId w15:val="{43B0F057-E7D7-421F-9D05-ECF2CD3B0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07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118"/>
  </w:style>
  <w:style w:type="paragraph" w:styleId="BalloonText">
    <w:name w:val="Balloon Text"/>
    <w:basedOn w:val="Normal"/>
    <w:link w:val="BalloonTextChar"/>
    <w:uiPriority w:val="99"/>
    <w:semiHidden/>
    <w:unhideWhenUsed/>
    <w:rsid w:val="006071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118"/>
    <w:rPr>
      <w:rFonts w:ascii="Segoe UI" w:hAnsi="Segoe UI" w:cs="Segoe UI"/>
      <w:sz w:val="18"/>
      <w:szCs w:val="18"/>
    </w:rPr>
  </w:style>
  <w:style w:type="paragraph" w:styleId="FootnoteText">
    <w:name w:val="footnote text"/>
    <w:basedOn w:val="Normal"/>
    <w:link w:val="FootnoteTextChar"/>
    <w:uiPriority w:val="99"/>
    <w:semiHidden/>
    <w:unhideWhenUsed/>
    <w:rsid w:val="006071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7118"/>
    <w:rPr>
      <w:sz w:val="20"/>
      <w:szCs w:val="20"/>
    </w:rPr>
  </w:style>
  <w:style w:type="character" w:styleId="FootnoteReference">
    <w:name w:val="footnote reference"/>
    <w:basedOn w:val="DefaultParagraphFont"/>
    <w:uiPriority w:val="99"/>
    <w:semiHidden/>
    <w:unhideWhenUsed/>
    <w:rsid w:val="00607118"/>
    <w:rPr>
      <w:vertAlign w:val="superscript"/>
    </w:rPr>
  </w:style>
  <w:style w:type="character" w:customStyle="1" w:styleId="Hyperlink1">
    <w:name w:val="Hyperlink1"/>
    <w:basedOn w:val="DefaultParagraphFont"/>
    <w:uiPriority w:val="99"/>
    <w:unhideWhenUsed/>
    <w:rsid w:val="00607118"/>
    <w:rPr>
      <w:color w:val="0563C1"/>
      <w:u w:val="single"/>
    </w:rPr>
  </w:style>
  <w:style w:type="table" w:styleId="TableGrid">
    <w:name w:val="Table Grid"/>
    <w:basedOn w:val="TableNormal"/>
    <w:uiPriority w:val="39"/>
    <w:rsid w:val="00607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07118"/>
    <w:rPr>
      <w:color w:val="0563C1" w:themeColor="hyperlink"/>
      <w:u w:val="single"/>
    </w:rPr>
  </w:style>
  <w:style w:type="paragraph" w:styleId="ListParagraph">
    <w:name w:val="List Paragraph"/>
    <w:basedOn w:val="Normal"/>
    <w:uiPriority w:val="34"/>
    <w:qFormat/>
    <w:rsid w:val="00DD403E"/>
    <w:pPr>
      <w:ind w:left="720"/>
      <w:contextualSpacing/>
    </w:pPr>
  </w:style>
  <w:style w:type="character" w:styleId="CommentReference">
    <w:name w:val="annotation reference"/>
    <w:basedOn w:val="DefaultParagraphFont"/>
    <w:uiPriority w:val="99"/>
    <w:semiHidden/>
    <w:unhideWhenUsed/>
    <w:rsid w:val="00040744"/>
    <w:rPr>
      <w:sz w:val="16"/>
      <w:szCs w:val="16"/>
    </w:rPr>
  </w:style>
  <w:style w:type="paragraph" w:styleId="CommentText">
    <w:name w:val="annotation text"/>
    <w:basedOn w:val="Normal"/>
    <w:link w:val="CommentTextChar"/>
    <w:uiPriority w:val="99"/>
    <w:semiHidden/>
    <w:unhideWhenUsed/>
    <w:rsid w:val="00040744"/>
    <w:pPr>
      <w:spacing w:line="240" w:lineRule="auto"/>
    </w:pPr>
    <w:rPr>
      <w:sz w:val="20"/>
      <w:szCs w:val="20"/>
    </w:rPr>
  </w:style>
  <w:style w:type="character" w:customStyle="1" w:styleId="CommentTextChar">
    <w:name w:val="Comment Text Char"/>
    <w:basedOn w:val="DefaultParagraphFont"/>
    <w:link w:val="CommentText"/>
    <w:uiPriority w:val="99"/>
    <w:semiHidden/>
    <w:rsid w:val="00040744"/>
    <w:rPr>
      <w:sz w:val="20"/>
      <w:szCs w:val="20"/>
    </w:rPr>
  </w:style>
  <w:style w:type="paragraph" w:styleId="CommentSubject">
    <w:name w:val="annotation subject"/>
    <w:basedOn w:val="CommentText"/>
    <w:next w:val="CommentText"/>
    <w:link w:val="CommentSubjectChar"/>
    <w:uiPriority w:val="99"/>
    <w:semiHidden/>
    <w:unhideWhenUsed/>
    <w:rsid w:val="00040744"/>
    <w:rPr>
      <w:b/>
      <w:bCs/>
    </w:rPr>
  </w:style>
  <w:style w:type="character" w:customStyle="1" w:styleId="CommentSubjectChar">
    <w:name w:val="Comment Subject Char"/>
    <w:basedOn w:val="CommentTextChar"/>
    <w:link w:val="CommentSubject"/>
    <w:uiPriority w:val="99"/>
    <w:semiHidden/>
    <w:rsid w:val="00040744"/>
    <w:rPr>
      <w:b/>
      <w:bCs/>
      <w:sz w:val="20"/>
      <w:szCs w:val="20"/>
    </w:rPr>
  </w:style>
  <w:style w:type="paragraph" w:styleId="EndnoteText">
    <w:name w:val="endnote text"/>
    <w:basedOn w:val="Normal"/>
    <w:link w:val="EndnoteTextChar"/>
    <w:uiPriority w:val="99"/>
    <w:semiHidden/>
    <w:unhideWhenUsed/>
    <w:rsid w:val="0076738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7387"/>
    <w:rPr>
      <w:sz w:val="20"/>
      <w:szCs w:val="20"/>
    </w:rPr>
  </w:style>
  <w:style w:type="character" w:styleId="EndnoteReference">
    <w:name w:val="endnote reference"/>
    <w:basedOn w:val="DefaultParagraphFont"/>
    <w:uiPriority w:val="99"/>
    <w:semiHidden/>
    <w:unhideWhenUsed/>
    <w:rsid w:val="00767387"/>
    <w:rPr>
      <w:vertAlign w:val="superscript"/>
    </w:rPr>
  </w:style>
  <w:style w:type="paragraph" w:styleId="Header">
    <w:name w:val="header"/>
    <w:basedOn w:val="Normal"/>
    <w:link w:val="HeaderChar"/>
    <w:uiPriority w:val="99"/>
    <w:unhideWhenUsed/>
    <w:rsid w:val="00AD0F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FB0"/>
  </w:style>
  <w:style w:type="paragraph" w:styleId="NormalWeb">
    <w:name w:val="Normal (Web)"/>
    <w:basedOn w:val="Normal"/>
    <w:uiPriority w:val="99"/>
    <w:semiHidden/>
    <w:unhideWhenUsed/>
    <w:rsid w:val="00253FDC"/>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989465">
      <w:bodyDiv w:val="1"/>
      <w:marLeft w:val="0"/>
      <w:marRight w:val="0"/>
      <w:marTop w:val="0"/>
      <w:marBottom w:val="0"/>
      <w:divBdr>
        <w:top w:val="none" w:sz="0" w:space="0" w:color="auto"/>
        <w:left w:val="none" w:sz="0" w:space="0" w:color="auto"/>
        <w:bottom w:val="none" w:sz="0" w:space="0" w:color="auto"/>
        <w:right w:val="none" w:sz="0" w:space="0" w:color="auto"/>
      </w:divBdr>
      <w:divsChild>
        <w:div w:id="645160270">
          <w:marLeft w:val="360"/>
          <w:marRight w:val="0"/>
          <w:marTop w:val="0"/>
          <w:marBottom w:val="0"/>
          <w:divBdr>
            <w:top w:val="none" w:sz="0" w:space="0" w:color="auto"/>
            <w:left w:val="none" w:sz="0" w:space="0" w:color="auto"/>
            <w:bottom w:val="none" w:sz="0" w:space="0" w:color="auto"/>
            <w:right w:val="none" w:sz="0" w:space="0" w:color="auto"/>
          </w:divBdr>
        </w:div>
      </w:divsChild>
    </w:div>
    <w:div w:id="550731161">
      <w:bodyDiv w:val="1"/>
      <w:marLeft w:val="0"/>
      <w:marRight w:val="0"/>
      <w:marTop w:val="0"/>
      <w:marBottom w:val="0"/>
      <w:divBdr>
        <w:top w:val="none" w:sz="0" w:space="0" w:color="auto"/>
        <w:left w:val="none" w:sz="0" w:space="0" w:color="auto"/>
        <w:bottom w:val="none" w:sz="0" w:space="0" w:color="auto"/>
        <w:right w:val="none" w:sz="0" w:space="0" w:color="auto"/>
      </w:divBdr>
    </w:div>
    <w:div w:id="1347169986">
      <w:bodyDiv w:val="1"/>
      <w:marLeft w:val="0"/>
      <w:marRight w:val="0"/>
      <w:marTop w:val="0"/>
      <w:marBottom w:val="0"/>
      <w:divBdr>
        <w:top w:val="none" w:sz="0" w:space="0" w:color="auto"/>
        <w:left w:val="none" w:sz="0" w:space="0" w:color="auto"/>
        <w:bottom w:val="none" w:sz="0" w:space="0" w:color="auto"/>
        <w:right w:val="none" w:sz="0" w:space="0" w:color="auto"/>
      </w:divBdr>
    </w:div>
    <w:div w:id="1538934593">
      <w:bodyDiv w:val="1"/>
      <w:marLeft w:val="0"/>
      <w:marRight w:val="0"/>
      <w:marTop w:val="0"/>
      <w:marBottom w:val="0"/>
      <w:divBdr>
        <w:top w:val="none" w:sz="0" w:space="0" w:color="auto"/>
        <w:left w:val="none" w:sz="0" w:space="0" w:color="auto"/>
        <w:bottom w:val="none" w:sz="0" w:space="0" w:color="auto"/>
        <w:right w:val="none" w:sz="0" w:space="0" w:color="auto"/>
      </w:divBdr>
    </w:div>
    <w:div w:id="155110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ncbi.nlm.nih.gov/books/NBK154073/" TargetMode="External"/><Relationship Id="rId2" Type="http://schemas.openxmlformats.org/officeDocument/2006/relationships/hyperlink" Target="http://www.cdc.gov/hiv/transgender/pdf/transgender.pdf" TargetMode="External"/><Relationship Id="rId1" Type="http://schemas.openxmlformats.org/officeDocument/2006/relationships/hyperlink" Target="http://www.iom.edu/~/media/Files/Report%20Files/2011/The-Health-of-Lesbian-Gay-Bisexual-and-Transgender-People/LGBT%20report%20release%20present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7642B5B6C4BC4994761FED932C8CE5" ma:contentTypeVersion="10" ma:contentTypeDescription="Create a new document." ma:contentTypeScope="" ma:versionID="9895e1bddbc7c77f958ee9f968326acb">
  <xsd:schema xmlns:xsd="http://www.w3.org/2001/XMLSchema" xmlns:xs="http://www.w3.org/2001/XMLSchema" xmlns:p="http://schemas.microsoft.com/office/2006/metadata/properties" xmlns:ns3="7d36ea19-629c-420d-b659-81f82527858f" targetNamespace="http://schemas.microsoft.com/office/2006/metadata/properties" ma:root="true" ma:fieldsID="acb9d13608d5879780f57de4d16aeb73" ns3:_="">
    <xsd:import namespace="7d36ea19-629c-420d-b659-81f82527858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6ea19-629c-420d-b659-81f82527858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03D1C-0268-455D-AE28-A121848FBBF0}">
  <ds:schemaRefs>
    <ds:schemaRef ds:uri="http://schemas.microsoft.com/office/2006/metadata/properties"/>
    <ds:schemaRef ds:uri="http://purl.org/dc/terms/"/>
    <ds:schemaRef ds:uri="http://schemas.openxmlformats.org/package/2006/metadata/core-properties"/>
    <ds:schemaRef ds:uri="http://purl.org/dc/dcmitype/"/>
    <ds:schemaRef ds:uri="7d36ea19-629c-420d-b659-81f82527858f"/>
    <ds:schemaRef ds:uri="http://schemas.microsoft.com/office/2006/documentManagement/type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EFCCA6F3-CAB5-427F-A19D-1BE13E2D9CDF}">
  <ds:schemaRefs>
    <ds:schemaRef ds:uri="http://schemas.microsoft.com/sharepoint/v3/contenttype/forms"/>
  </ds:schemaRefs>
</ds:datastoreItem>
</file>

<file path=customXml/itemProps3.xml><?xml version="1.0" encoding="utf-8"?>
<ds:datastoreItem xmlns:ds="http://schemas.openxmlformats.org/officeDocument/2006/customXml" ds:itemID="{E52D014C-7B50-4111-BAB9-54FC91C64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6ea19-629c-420d-b659-81f825278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E060CE-0AF2-4380-8D22-B2D2C86E2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D70F929F</Template>
  <TotalTime>0</TotalTime>
  <Pages>7</Pages>
  <Words>2439</Words>
  <Characters>13905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Siskind, Rona (NIH/NIAID) [E]</dc:creator>
  <cp:keywords/>
  <dc:description/>
  <cp:lastModifiedBy>Siskind, Rona (NIH/NIAID) [E]</cp:lastModifiedBy>
  <cp:revision>2</cp:revision>
  <dcterms:created xsi:type="dcterms:W3CDTF">2020-04-07T16:15:00Z</dcterms:created>
  <dcterms:modified xsi:type="dcterms:W3CDTF">2020-04-07T16:15:00Z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0x010100867642B5B6C4BC4994761FED932C8CE5</vt:lpwstr>
  </property>
</Properties>
</file>